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00"/>
      </w:pPr>
      <w:r>
        <w:rPr>
          <w:rFonts w:ascii="Arial" w:cs="Arial" w:eastAsia="Arial" w:hAnsi="Arial"/>
          <w:b/>
          <w:bCs/>
          <w:color w:val="1A3A2A"/>
          <w:sz w:val="48"/>
          <w:szCs w:val="48"/>
        </w:rPr>
        <w:t xml:space="preserve">PROPERTY INDEX IRELAND</w:t>
      </w:r>
    </w:p>
    <w:p>
      <w:pPr>
        <w:spacing w:after="60" w:before="0"/>
      </w:pPr>
      <w:r>
        <w:rPr>
          <w:rFonts w:ascii="Arial" w:cs="Arial" w:eastAsia="Arial" w:hAnsi="Arial"/>
          <w:b/>
          <w:bCs/>
          <w:color w:val="2D6347"/>
          <w:sz w:val="28"/>
          <w:szCs w:val="28"/>
        </w:rPr>
        <w:t xml:space="preserve">Solicitor Brief — Legal Review &amp; Document Drafting</w:t>
      </w:r>
    </w:p>
    <w:p>
      <w:pPr>
        <w:pBdr>
          <w:bottom w:val="single" w:color="AEDE44" w:sz="6" w:space="4"/>
        </w:pBdr>
        <w:spacing w:after="400" w:before="0"/>
      </w:pPr>
      <w:r>
        <w:rPr>
          <w:rFonts w:ascii="Arial" w:cs="Arial" w:eastAsia="Arial" w:hAnsi="Arial"/>
          <w:color w:val="666666"/>
          <w:sz w:val="18"/>
          <w:szCs w:val="18"/>
        </w:rPr>
        <w:t xml:space="preserve">Prepared for first legal consultation  |  May 2026  |  Confidential  |  Updated to reflect current platform design</w:t>
      </w:r>
    </w:p>
    <w:p>
      <w:pPr>
        <w:spacing w:after="0" w:before="100"/>
      </w:pPr>
      <w:r>
        <w:rPr>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6B35" w:sz="6"/>
              <w:left w:val="single" w:color="CCCCCC" w:sz="1"/>
              <w:bottom w:val="single" w:color="CCCCCC" w:sz="1"/>
              <w:right w:val="single" w:color="CCCCCC" w:sz="1"/>
            </w:tcBorders>
            <w:shd w:fill="E8F5EE" w:val="clear"/>
            <w:tcMar>
              <w:top w:type="dxa" w:w="100"/>
              <w:left w:type="dxa" w:w="160"/>
              <w:bottom w:type="dxa" w:w="100"/>
              <w:right w:type="dxa" w:w="160"/>
            </w:tcMar>
          </w:tcPr>
          <w:p>
            <w:pPr>
              <w:spacing w:after="50" w:before="0"/>
            </w:pPr>
            <w:r>
              <w:rPr>
                <w:rFonts w:ascii="Arial" w:cs="Arial" w:eastAsia="Arial" w:hAnsi="Arial"/>
                <w:b/>
                <w:bCs/>
                <w:color w:val="1A6B35"/>
                <w:spacing w:val="20"/>
                <w:sz w:val="17"/>
                <w:szCs w:val="17"/>
              </w:rPr>
              <w:t xml:space="preserve">WHAT IS NEEDED FROM THIS CONSULTATION</w:t>
            </w:r>
          </w:p>
          <w:p>
            <w:pPr>
              <w:spacing w:after="0" w:before="0" w:line="285"/>
            </w:pPr>
            <w:r>
              <w:rPr>
                <w:rFonts w:ascii="Arial" w:cs="Arial" w:eastAsia="Arial" w:hAnsi="Arial"/>
                <w:color w:val="1C1C18"/>
                <w:sz w:val="19"/>
                <w:szCs w:val="19"/>
              </w:rPr>
              <w:t xml:space="preserve">1. A liability opinion on platform vs publisher status under Irish law
2. Review and finalisation of draft Terms of Service
3. Review and finalisation of draft Privacy Policy — updated for verification flow and pseudonymous processing
4. GDPR compliance advice specific to the data flows described including the email bridge key and account association design
5. DSA compliance requirements for a small hosting service provider
6. General advice on legal structure — company name reserved, incorporating as LTD
7. Advice on health data consent approach for the report form</w:t>
            </w:r>
          </w:p>
        </w:tc>
      </w:tr>
    </w:tbl>
    <w:p>
      <w:pPr>
        <w:spacing w:after="0" w:before="100"/>
      </w:pPr>
      <w:r>
        <w:rPr>
          <w:sz w:val="20"/>
          <w:szCs w:val="20"/>
        </w:rPr>
        <w:t xml:space="preserve"/>
      </w:r>
    </w:p>
    <w:p>
      <w:pPr>
        <w:shd w:fill="1A3A2A" w:val="clear"/>
        <w:spacing w:after="160" w:before="320"/>
      </w:pPr>
      <w:r>
        <w:rPr>
          <w:rFonts w:ascii="Arial" w:cs="Arial" w:eastAsia="Arial" w:hAnsi="Arial"/>
          <w:b/>
          <w:bCs/>
          <w:color w:val="AEDE44"/>
          <w:sz w:val="26"/>
          <w:szCs w:val="26"/>
        </w:rPr>
        <w:t xml:space="preserve">  1. Business Overview</w:t>
      </w:r>
    </w:p>
    <w:p>
      <w:pPr>
        <w:pBdr>
          <w:bottom w:val="single" w:color="AEDE44" w:sz="3" w:space="3"/>
        </w:pBdr>
        <w:spacing w:after="80" w:before="220"/>
      </w:pPr>
      <w:r>
        <w:rPr>
          <w:rFonts w:ascii="Arial" w:cs="Arial" w:eastAsia="Arial" w:hAnsi="Arial"/>
          <w:b/>
          <w:bCs/>
          <w:color w:val="1A3A2A"/>
          <w:sz w:val="22"/>
          <w:szCs w:val="22"/>
        </w:rPr>
        <w:t xml:space="preserve">1.1 What the platform does</w:t>
      </w:r>
    </w:p>
    <w:p>
      <w:pPr>
        <w:spacing w:after="80" w:before="60" w:line="290"/>
      </w:pPr>
      <w:r>
        <w:rPr>
          <w:rFonts w:ascii="Arial" w:cs="Arial" w:eastAsia="Arial" w:hAnsi="Arial"/>
          <w:color w:val="1C1C18"/>
          <w:sz w:val="20"/>
          <w:szCs w:val="20"/>
        </w:rPr>
        <w:t xml:space="preserve">Property Index Ireland is a community-powered platform that collects structured tenant experiences about specific rental properties across Ireland and publishes aggregated scores and signals derived from those submissions.</w:t>
      </w:r>
    </w:p>
    <w:p>
      <w:pPr>
        <w:spacing w:after="0" w:before="100"/>
      </w:pPr>
      <w:r>
        <w:rPr>
          <w:sz w:val="20"/>
          <w:szCs w:val="20"/>
        </w:rPr>
        <w:t xml:space="preserve"/>
      </w:r>
    </w:p>
    <w:p>
      <w:pPr>
        <w:spacing w:after="80" w:before="60" w:line="290"/>
      </w:pPr>
      <w:r>
        <w:rPr>
          <w:rFonts w:ascii="Arial" w:cs="Arial" w:eastAsia="Arial" w:hAnsi="Arial"/>
          <w:color w:val="1C1C18"/>
          <w:sz w:val="20"/>
          <w:szCs w:val="20"/>
        </w:rPr>
        <w:t xml:space="preserve">Tenants submit reports through a structured web form. Before submitting, tenants pass through a mandatory consent screen requiring two active checkbox confirmations: (1) that their report is based on genuine personal experience and contains no defamatory or false statements; (2) that they have read and agree to the Terms of Service and Privacy Policy. The form cannot proceed without both boxes ticked.</w:t>
      </w:r>
    </w:p>
    <w:p>
      <w:pPr>
        <w:spacing w:after="0" w:before="100"/>
      </w:pPr>
      <w:r>
        <w:rPr>
          <w:sz w:val="20"/>
          <w:szCs w:val="20"/>
        </w:rPr>
        <w:t xml:space="preserve"/>
      </w:r>
    </w:p>
    <w:p>
      <w:pPr>
        <w:spacing w:after="80" w:before="60" w:line="290"/>
      </w:pPr>
      <w:r>
        <w:rPr>
          <w:rFonts w:ascii="Arial" w:cs="Arial" w:eastAsia="Arial" w:hAnsi="Arial"/>
          <w:color w:val="1C1C18"/>
          <w:sz w:val="20"/>
          <w:szCs w:val="20"/>
        </w:rPr>
        <w:t xml:space="preserve">The form uses checkboxes, star ratings, segmented selectors, and a short free-text field of maximum 400 characters. An optional extended section collects rent details, deposit information, management ratings, and detailed area infrastructure data.</w:t>
      </w:r>
    </w:p>
    <w:p>
      <w:pPr>
        <w:spacing w:after="0" w:before="100"/>
      </w:pPr>
      <w:r>
        <w:rPr>
          <w:sz w:val="20"/>
          <w:szCs w:val="20"/>
        </w:rPr>
        <w:t xml:space="preserve"/>
      </w:r>
    </w:p>
    <w:p>
      <w:pPr>
        <w:spacing w:after="80" w:before="60" w:line="290"/>
      </w:pPr>
      <w:r>
        <w:rPr>
          <w:rFonts w:ascii="Arial" w:cs="Arial" w:eastAsia="Arial" w:hAnsi="Arial"/>
          <w:color w:val="1C1C18"/>
          <w:sz w:val="20"/>
          <w:szCs w:val="20"/>
        </w:rPr>
        <w:t xml:space="preserve">All reports are moderated by the founder before publication. Each report is assigned a unique file number in the format PIR-YYYY-#####. Reports that contain identifying information about individuals, make statements about named persons, or appear abusive, false, or vexatious are rejected. Moderation decisions and rejection reasons are logged against each file number.</w:t>
      </w:r>
    </w:p>
    <w:p>
      <w:pPr>
        <w:spacing w:after="0" w:before="100"/>
      </w:pPr>
      <w:r>
        <w:rPr>
          <w:sz w:val="20"/>
          <w:szCs w:val="20"/>
        </w:rPr>
        <w:t xml:space="preserve"/>
      </w:r>
    </w:p>
    <w:p>
      <w:pPr>
        <w:spacing w:after="80" w:before="60" w:line="290"/>
      </w:pPr>
      <w:r>
        <w:rPr>
          <w:rFonts w:ascii="Arial" w:cs="Arial" w:eastAsia="Arial" w:hAnsi="Arial"/>
          <w:color w:val="1C1C18"/>
          <w:sz w:val="20"/>
          <w:szCs w:val="20"/>
        </w:rPr>
        <w:t xml:space="preserve">The platform does not publish individual reports. It publishes aggregated scores — an overall score out of 100, three sub-scores (Property Quality, Tenancy Management, Neighbourhood), and intelligence signals derived from patterns across submissions for a given property address.</w:t>
      </w:r>
    </w:p>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1.2 What is published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Property address</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The address entered by the tenant — used as the property identifier</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Overall score</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An algorithmically generated number out of 100 — the platform's own analytical output, not a statement of fact about the property</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Sub-scores</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Three component scores — Property Quality, Tenancy Management, Neighbourhood</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Confidence level</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Low / Building / High — based on number of verified submissions</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Intelligence tags</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Derived signals e.g. 'Damp / mould reported', 'Good transport' — based on structured inputs, attributed to reports not stated as fact</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Report count</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Number of verified submissions contributing to the score</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No landlord names</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The platform does not collect or publish individual landlord names</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No tenant names</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Reports are not linked to any publicly identifiable information</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No verbatim reports</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Individual submissions are never shown publicly</w:t>
            </w:r>
          </w:p>
        </w:tc>
      </w:tr>
    </w:tbl>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1.3 Data collected and processed</w:t>
      </w:r>
    </w:p>
    <w:p>
      <w:pPr>
        <w:spacing w:after="80" w:before="60" w:line="290"/>
      </w:pPr>
      <w:r>
        <w:rPr>
          <w:rFonts w:ascii="Arial" w:cs="Arial" w:eastAsia="Arial" w:hAnsi="Arial"/>
          <w:color w:val="1C1C18"/>
          <w:sz w:val="20"/>
          <w:szCs w:val="20"/>
        </w:rPr>
        <w:t xml:space="preserve">The platform collects the following data through the report submission form:</w:t>
      </w:r>
    </w:p>
    <w:p>
      <w:pPr>
        <w:spacing w:after="0" w:before="100"/>
      </w:pPr>
      <w:r>
        <w:rPr>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Core report data (hard required)</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Property address, tenant status (current/past), star rating (1-5), recommend (yes/mixed/no)</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Extended property data (optional)</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Property type, bedrooms, bathrooms, parking, tenancy dates</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Area ratings (soft required)</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Transport, safety, crèche/childcare, grocery, GP access, noise — must engage, N/A always valid</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Issue flags (optional)</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Mould/damp, maintenance, deposit, landlord behaviour, rent increase, unsafe conditions, noise</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Free text field (optional)</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Maximum 400 characters — unstructured tenant description</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Extended optional data</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Rent figures, deposit details, RPZ status, management ratings, agency name, area infrastructure detail</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Email address (required)</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Required to verify the submission is genuine — verification link sent, one email only. Never shown publicly. Stored against submission in Supabase as a bridge key for future account association.</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Notification consent (separate optional)</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Separate checkbox opt-in to receive one notification email when the report is approved and published. Lawful basis: consent under Article 6(1)(a). This is separate from and independent of the verification email.</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IP addresses</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Not stored against submissions</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Analytics</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Google Analytics — standard page view data only. No user-level tracking of report content.</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Database hosting</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Supabase — EU hosting region</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Website hosting</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Cloudflare Pages</w:t>
            </w:r>
          </w:p>
        </w:tc>
      </w:tr>
    </w:tbl>
    <w:p>
      <w:pPr>
        <w:spacing w:after="0" w:before="100"/>
      </w:pPr>
      <w:r>
        <w:rPr>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5E00" w:sz="6"/>
              <w:left w:val="single" w:color="CCCCCC" w:sz="1"/>
              <w:bottom w:val="single" w:color="CCCCCC" w:sz="1"/>
              <w:right w:val="single" w:color="CCCCCC" w:sz="1"/>
            </w:tcBorders>
            <w:shd w:fill="FEF9E7" w:val="clear"/>
            <w:tcMar>
              <w:top w:type="dxa" w:w="100"/>
              <w:left w:type="dxa" w:w="160"/>
              <w:bottom w:type="dxa" w:w="100"/>
              <w:right w:type="dxa" w:w="160"/>
            </w:tcMar>
          </w:tcPr>
          <w:p>
            <w:pPr>
              <w:spacing w:after="50" w:before="0"/>
            </w:pPr>
            <w:r>
              <w:rPr>
                <w:rFonts w:ascii="Arial" w:cs="Arial" w:eastAsia="Arial" w:hAnsi="Arial"/>
                <w:b/>
                <w:bCs/>
                <w:color w:val="8B5E00"/>
                <w:spacing w:val="20"/>
                <w:sz w:val="17"/>
                <w:szCs w:val="17"/>
              </w:rPr>
              <w:t xml:space="preserve">NOTE TO SOLICITOR — KEY DESIGN CHANGE FROM PRIOR BRIEF</w:t>
            </w:r>
          </w:p>
          <w:p>
            <w:pPr>
              <w:spacing w:after="0" w:before="0" w:line="285"/>
            </w:pPr>
            <w:r>
              <w:rPr>
                <w:rFonts w:ascii="Arial" w:cs="Arial" w:eastAsia="Arial" w:hAnsi="Arial"/>
                <w:color w:val="1C1C18"/>
                <w:sz w:val="19"/>
                <w:szCs w:val="19"/>
              </w:rPr>
              <w:t xml:space="preserve">The email address is now required for all submissions, not optional. The lawful basis for collecting and using the email to send a verification link is legitimate interests under Article 6(1)(f) — fraud prevention and submission integrity, not marketing. The notification opt-in is a separate distinct consent under Article 6(1)(a). These two purposes and two bases must remain clearly separated in the Privacy Policy and Terms of Service.</w:t>
            </w:r>
          </w:p>
        </w:tc>
      </w:tr>
    </w:tbl>
    <w:p>
      <w:pPr>
        <w:spacing w:after="0" w:before="100"/>
      </w:pPr>
      <w:r>
        <w:rPr>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5E00" w:sz="6"/>
              <w:left w:val="single" w:color="CCCCCC" w:sz="1"/>
              <w:bottom w:val="single" w:color="CCCCCC" w:sz="1"/>
              <w:right w:val="single" w:color="CCCCCC" w:sz="1"/>
            </w:tcBorders>
            <w:shd w:fill="FEF9E7" w:val="clear"/>
            <w:tcMar>
              <w:top w:type="dxa" w:w="100"/>
              <w:left w:type="dxa" w:w="160"/>
              <w:bottom w:type="dxa" w:w="100"/>
              <w:right w:type="dxa" w:w="160"/>
            </w:tcMar>
          </w:tcPr>
          <w:p>
            <w:pPr>
              <w:spacing w:after="50" w:before="0"/>
            </w:pPr>
            <w:r>
              <w:rPr>
                <w:rFonts w:ascii="Arial" w:cs="Arial" w:eastAsia="Arial" w:hAnsi="Arial"/>
                <w:b/>
                <w:bCs/>
                <w:color w:val="8B5E00"/>
                <w:spacing w:val="20"/>
                <w:sz w:val="17"/>
                <w:szCs w:val="17"/>
              </w:rPr>
              <w:t xml:space="preserve">NOTE TO SOLICITOR — EMAIL AS BRIDGE KEY FOR FUTURE ACCOUNTS</w:t>
            </w:r>
          </w:p>
          <w:p>
            <w:pPr>
              <w:spacing w:after="0" w:before="0" w:line="285"/>
            </w:pPr>
            <w:r>
              <w:rPr>
                <w:rFonts w:ascii="Arial" w:cs="Arial" w:eastAsia="Arial" w:hAnsi="Arial"/>
                <w:color w:val="1C1C18"/>
                <w:sz w:val="19"/>
                <w:szCs w:val="19"/>
              </w:rPr>
              <w:t xml:space="preserve">The email address collected now will be used in the future to link submissions to user accounts. When a user creates an account using the same email address they used to submit a report, their historical submissions will be retroactively associated with their account. This means: (1) the future use of the email address as a bridge key for account association must be disclosed now in the Privacy Policy under Article 13 GDPR; (2) once accounts exist, processing transitions from potentially anonymous to definitively pseudonymous — an email to account to submissions chain exists internally even though nothing is published publicly. The Privacy Policy must reflect pseudonymous not anonymous processing once accounts are introduced. Please advise on the specific language required.</w:t>
            </w:r>
          </w:p>
        </w:tc>
      </w:tr>
    </w:tbl>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1.4 Revenue model</w:t>
      </w:r>
    </w:p>
    <w:p>
      <w:pPr>
        <w:pStyle w:val="ListParagraph"/>
        <w:numPr>
          <w:ilvl w:val="0"/>
          <w:numId w:val="2"/>
        </w:numPr>
        <w:spacing w:after="40" w:before="40" w:line="280"/>
      </w:pPr>
      <w:r>
        <w:rPr>
          <w:rFonts w:ascii="Arial" w:cs="Arial" w:eastAsia="Arial" w:hAnsi="Arial"/>
          <w:color w:val="1C1C18"/>
          <w:sz w:val="20"/>
          <w:szCs w:val="20"/>
        </w:rPr>
        <w:t xml:space="preserve">Verified Score Badge — optional paid product for landlords and agents who want to demonstrate rental quality. Monthly subscription.</w:t>
      </w:r>
    </w:p>
    <w:p>
      <w:pPr>
        <w:pStyle w:val="ListParagraph"/>
        <w:numPr>
          <w:ilvl w:val="0"/>
          <w:numId w:val="2"/>
        </w:numPr>
        <w:spacing w:after="40" w:before="40" w:line="280"/>
      </w:pPr>
      <w:r>
        <w:rPr>
          <w:rFonts w:ascii="Arial" w:cs="Arial" w:eastAsia="Arial" w:hAnsi="Arial"/>
          <w:color w:val="1C1C18"/>
          <w:sz w:val="20"/>
          <w:szCs w:val="20"/>
        </w:rPr>
        <w:t xml:space="preserve">Agent Portfolio Dashboard — paid tool for letting agents to monitor scores across properties they manage. Monthly subscription. Note: the report form optionally collects agency/company names — the intended future use of this data for agency-level scoring must be reviewed for GDPR compatibility.</w:t>
      </w:r>
    </w:p>
    <w:p>
      <w:pPr>
        <w:pStyle w:val="ListParagraph"/>
        <w:numPr>
          <w:ilvl w:val="0"/>
          <w:numId w:val="2"/>
        </w:numPr>
        <w:spacing w:after="40" w:before="40" w:line="280"/>
      </w:pPr>
      <w:r>
        <w:rPr>
          <w:rFonts w:ascii="Arial" w:cs="Arial" w:eastAsia="Arial" w:hAnsi="Arial"/>
          <w:color w:val="1C1C18"/>
          <w:sz w:val="20"/>
          <w:szCs w:val="20"/>
        </w:rPr>
        <w:t xml:space="preserve">Data licensing — aggregated anonymised data licensed to researchers, journalists, policy bodies, and housing organisations. Property-level individual report data is not sold.</w:t>
      </w:r>
    </w:p>
    <w:p>
      <w:pPr>
        <w:pStyle w:val="ListParagraph"/>
        <w:numPr>
          <w:ilvl w:val="0"/>
          <w:numId w:val="2"/>
        </w:numPr>
        <w:spacing w:after="40" w:before="40" w:line="280"/>
      </w:pPr>
      <w:r>
        <w:rPr>
          <w:rFonts w:ascii="Arial" w:cs="Arial" w:eastAsia="Arial" w:hAnsi="Arial"/>
          <w:color w:val="1C1C18"/>
          <w:sz w:val="20"/>
          <w:szCs w:val="20"/>
        </w:rPr>
        <w:t xml:space="preserve">Tenant Plus — future paid tier for enhanced search. Year 2.</w:t>
      </w:r>
    </w:p>
    <w:p>
      <w:pPr>
        <w:pStyle w:val="ListParagraph"/>
        <w:numPr>
          <w:ilvl w:val="0"/>
          <w:numId w:val="2"/>
        </w:numPr>
        <w:spacing w:after="40" w:before="40" w:line="280"/>
      </w:pPr>
      <w:r>
        <w:rPr>
          <w:rFonts w:ascii="Arial" w:cs="Arial" w:eastAsia="Arial" w:hAnsi="Arial"/>
          <w:color w:val="1C1C18"/>
          <w:sz w:val="20"/>
          <w:szCs w:val="20"/>
        </w:rPr>
        <w:t xml:space="preserve">Commissioned reports — area-level or county-level analysis commissioned by third parties.</w:t>
      </w:r>
    </w:p>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1.5 Current status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Legal structure</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Incorporating as LTD. Company name 'Property Index Ireland Limited' reserved at CRO on 8 May 2026. Reservation expires approximately 5 June 2026. Incorporation to be completed before this date.</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Launch status</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Pre-launch. Platform built and deployed on Cloudflare Pages. No live report data yet.</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Database</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Supabase — EU hosting region. Schema designed. Verification flow to be connected before launch.</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Staff</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Founder only. Husband named as company secretary.</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Jurisdiction</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Ireland. Platform targeted at Irish rental market.</w:t>
            </w:r>
          </w:p>
        </w:tc>
      </w:tr>
      <w:tr>
        <w:tc>
          <w:tcPr>
            <w:tcW w:type="dxa" w:w="2800"/>
            <w:tcBorders>
              <w:top w:val="single" w:color="CCCCCC" w:sz="1"/>
              <w:left w:val="single" w:color="CCCCCC" w:sz="1"/>
              <w:bottom w:val="single" w:color="CCCCCC" w:sz="1"/>
              <w:right w:val="single" w:color="CCCCCC" w:sz="1"/>
            </w:tcBorders>
            <w:shd w:fill="F8F5EE" w:val="clear"/>
            <w:tcMar>
              <w:top w:type="dxa" w:w="80"/>
              <w:left w:type="dxa" w:w="140"/>
              <w:bottom w:type="dxa" w:w="80"/>
              <w:right w:type="dxa" w:w="140"/>
            </w:tcMar>
          </w:tcPr>
          <w:p>
            <w:r>
              <w:rPr>
                <w:rFonts w:ascii="Arial" w:cs="Arial" w:eastAsia="Arial" w:hAnsi="Arial"/>
                <w:b/>
                <w:bCs/>
                <w:color w:val="1A3A2A"/>
                <w:sz w:val="19"/>
                <w:szCs w:val="19"/>
              </w:rPr>
              <w:t xml:space="preserve">Hosting</w:t>
            </w:r>
          </w:p>
        </w:tc>
        <w:tc>
          <w:tcPr>
            <w:tcW w:type="dxa" w:w="62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after="0" w:before="0" w:line="285"/>
            </w:pPr>
            <w:r>
              <w:rPr>
                <w:rFonts w:ascii="Arial" w:cs="Arial" w:eastAsia="Arial" w:hAnsi="Arial"/>
                <w:color w:val="1C1C18"/>
                <w:sz w:val="19"/>
                <w:szCs w:val="19"/>
              </w:rPr>
              <w:t xml:space="preserve">Moved from Netlify to Cloudflare Pages.</w:t>
            </w:r>
          </w:p>
        </w:tc>
      </w:tr>
    </w:tbl>
    <w:p>
      <w:pPr>
        <w:pBdr>
          <w:bottom w:val="single" w:color="DDDDDD" w:sz="2" w:space="1"/>
        </w:pBdr>
        <w:spacing w:after="180" w:before="180"/>
      </w:pPr>
      <w:r>
        <w:t xml:space="preserve"/>
      </w:r>
    </w:p>
    <w:p>
      <w:r>
        <w:br w:type="page"/>
      </w:r>
    </w:p>
    <w:p>
      <w:pPr>
        <w:shd w:fill="1A3A2A" w:val="clear"/>
        <w:spacing w:after="160" w:before="320"/>
      </w:pPr>
      <w:r>
        <w:rPr>
          <w:rFonts w:ascii="Arial" w:cs="Arial" w:eastAsia="Arial" w:hAnsi="Arial"/>
          <w:b/>
          <w:bCs/>
          <w:color w:val="AEDE44"/>
          <w:sz w:val="26"/>
          <w:szCs w:val="26"/>
        </w:rPr>
        <w:t xml:space="preserve">  2. Specific Legal Questions</w:t>
      </w:r>
    </w:p>
    <w:p>
      <w:pPr>
        <w:pBdr>
          <w:bottom w:val="single" w:color="AEDE44" w:sz="3" w:space="3"/>
        </w:pBdr>
        <w:spacing w:after="80" w:before="220"/>
      </w:pPr>
      <w:r>
        <w:rPr>
          <w:rFonts w:ascii="Arial" w:cs="Arial" w:eastAsia="Arial" w:hAnsi="Arial"/>
          <w:b/>
          <w:bCs/>
          <w:color w:val="1A3A2A"/>
          <w:sz w:val="22"/>
          <w:szCs w:val="22"/>
        </w:rPr>
        <w:t xml:space="preserve">2.1 Platform liability — defamation</w:t>
      </w:r>
    </w:p>
    <w:p>
      <w:pPr>
        <w:pStyle w:val="ListParagraph"/>
        <w:numPr>
          <w:ilvl w:val="0"/>
          <w:numId w:val="2"/>
        </w:numPr>
        <w:spacing w:after="40" w:before="40" w:line="280"/>
      </w:pPr>
      <w:r>
        <w:rPr>
          <w:rFonts w:ascii="Arial" w:cs="Arial" w:eastAsia="Arial" w:hAnsi="Arial"/>
          <w:color w:val="1C1C18"/>
          <w:sz w:val="20"/>
          <w:szCs w:val="20"/>
        </w:rPr>
        <w:t xml:space="preserve">Does the platform qualify for the innocent publication defence under Section 27 of the Defamation Act 2009 given that: (a) it is not the author of submitted content; (b) it operates a mandatory consent screen requiring users to confirm genuineness before submitting; (c) it moderates before publication; (d) it publishes derived scores rather than verbatim reports?</w:t>
      </w:r>
    </w:p>
    <w:p>
      <w:pPr>
        <w:pStyle w:val="ListParagraph"/>
        <w:numPr>
          <w:ilvl w:val="0"/>
          <w:numId w:val="2"/>
        </w:numPr>
        <w:spacing w:after="40" w:before="40" w:line="280"/>
      </w:pPr>
      <w:r>
        <w:rPr>
          <w:rFonts w:ascii="Arial" w:cs="Arial" w:eastAsia="Arial" w:hAnsi="Arial"/>
          <w:color w:val="1C1C18"/>
          <w:sz w:val="20"/>
          <w:szCs w:val="20"/>
        </w:rPr>
        <w:t xml:space="preserve">Does the mandatory pre-submission consent screen — requiring users to confirm their report is genuine and contains no defamatory statements — strengthen the Section 27(3) 'reasonable care' element of the innocent publication defence?</w:t>
      </w:r>
    </w:p>
    <w:p>
      <w:pPr>
        <w:pStyle w:val="ListParagraph"/>
        <w:numPr>
          <w:ilvl w:val="0"/>
          <w:numId w:val="2"/>
        </w:numPr>
        <w:spacing w:after="40" w:before="40" w:line="280"/>
      </w:pPr>
      <w:r>
        <w:rPr>
          <w:rFonts w:ascii="Arial" w:cs="Arial" w:eastAsia="Arial" w:hAnsi="Arial"/>
          <w:color w:val="1C1C18"/>
          <w:sz w:val="20"/>
          <w:szCs w:val="20"/>
        </w:rPr>
        <w:t xml:space="preserve">Does pre-publication moderation affect the innocent publication defence? The founder's understanding based on DSA Article 6 and recital 25 is that voluntary moderation in good faith does not strip the hosting liability exemption.</w:t>
      </w:r>
    </w:p>
    <w:p>
      <w:pPr>
        <w:pStyle w:val="ListParagraph"/>
        <w:numPr>
          <w:ilvl w:val="0"/>
          <w:numId w:val="2"/>
        </w:numPr>
        <w:spacing w:after="40" w:before="40" w:line="280"/>
      </w:pPr>
      <w:r>
        <w:rPr>
          <w:rFonts w:ascii="Arial" w:cs="Arial" w:eastAsia="Arial" w:hAnsi="Arial"/>
          <w:color w:val="1C1C18"/>
          <w:sz w:val="20"/>
          <w:szCs w:val="20"/>
        </w:rPr>
        <w:t xml:space="preserve">Do the intelligence tags published on the score card — e.g. 'Damp / mould reported', 'Slow maintenance' — constitute statements of fact that could give rise to defamation liability, or are they sufficiently hedged as derived signals attributed to community reports?</w:t>
      </w:r>
    </w:p>
    <w:p>
      <w:pPr>
        <w:pStyle w:val="ListParagraph"/>
        <w:numPr>
          <w:ilvl w:val="0"/>
          <w:numId w:val="2"/>
        </w:numPr>
        <w:spacing w:after="40" w:before="40" w:line="280"/>
      </w:pPr>
      <w:r>
        <w:rPr>
          <w:rFonts w:ascii="Arial" w:cs="Arial" w:eastAsia="Arial" w:hAnsi="Arial"/>
          <w:color w:val="1C1C18"/>
          <w:sz w:val="20"/>
          <w:szCs w:val="20"/>
        </w:rPr>
        <w:t xml:space="preserve">The optional management section collects the name of the letting agency or management company — not individual names. Does collecting and potentially publishing agency-level performance scores create defamation risk and if so how is it mitigated under the amended Section 12 serious harm threshold?</w:t>
      </w:r>
    </w:p>
    <w:p>
      <w:pPr>
        <w:pStyle w:val="ListParagraph"/>
        <w:numPr>
          <w:ilvl w:val="0"/>
          <w:numId w:val="2"/>
        </w:numPr>
        <w:spacing w:after="40" w:before="40" w:line="280"/>
      </w:pPr>
      <w:r>
        <w:rPr>
          <w:rFonts w:ascii="Arial" w:cs="Arial" w:eastAsia="Arial" w:hAnsi="Arial"/>
          <w:color w:val="1C1C18"/>
          <w:sz w:val="20"/>
          <w:szCs w:val="20"/>
        </w:rPr>
        <w:t xml:space="preserve">How do the anti-SLAPP provisions under Part 4A of the Defamation Act 2009 (inserted by the Defamation (Amendment) Act 2026) protect the platform if a landlord or property company uses litigation primarily to silence the platform?</w:t>
      </w:r>
    </w:p>
    <w:p>
      <w:pPr>
        <w:pStyle w:val="ListParagraph"/>
        <w:numPr>
          <w:ilvl w:val="0"/>
          <w:numId w:val="2"/>
        </w:numPr>
        <w:spacing w:after="40" w:before="40" w:line="280"/>
      </w:pPr>
      <w:r>
        <w:rPr>
          <w:rFonts w:ascii="Arial" w:cs="Arial" w:eastAsia="Arial" w:hAnsi="Arial"/>
          <w:color w:val="1C1C18"/>
          <w:sz w:val="20"/>
          <w:szCs w:val="20"/>
        </w:rPr>
        <w:t xml:space="preserve">Does the new serious harm threshold for body corporate defamation under Section 12(2)-(3) of the Defamation Act 2009 as amended March 2026 provide meaningful protection against claims from property management companies?</w:t>
      </w:r>
    </w:p>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2.2 Platform liability — DSA and E-Commerce</w:t>
      </w:r>
    </w:p>
    <w:p>
      <w:pPr>
        <w:pStyle w:val="ListParagraph"/>
        <w:numPr>
          <w:ilvl w:val="0"/>
          <w:numId w:val="2"/>
        </w:numPr>
        <w:spacing w:after="40" w:before="40" w:line="280"/>
      </w:pPr>
      <w:r>
        <w:rPr>
          <w:rFonts w:ascii="Arial" w:cs="Arial" w:eastAsia="Arial" w:hAnsi="Arial"/>
          <w:color w:val="1C1C18"/>
          <w:sz w:val="20"/>
          <w:szCs w:val="20"/>
        </w:rPr>
        <w:t xml:space="preserve">Does the platform qualify as a hosting service provider under the EU Digital Services Act and the European Communities (Directive 2000/31/EC) Regulations 2003?</w:t>
      </w:r>
    </w:p>
    <w:p>
      <w:pPr>
        <w:pStyle w:val="ListParagraph"/>
        <w:numPr>
          <w:ilvl w:val="0"/>
          <w:numId w:val="2"/>
        </w:numPr>
        <w:spacing w:after="40" w:before="40" w:line="280"/>
      </w:pPr>
      <w:r>
        <w:rPr>
          <w:rFonts w:ascii="Arial" w:cs="Arial" w:eastAsia="Arial" w:hAnsi="Arial"/>
          <w:color w:val="1C1C18"/>
          <w:sz w:val="20"/>
          <w:szCs w:val="20"/>
        </w:rPr>
        <w:t xml:space="preserve">What are the minimum DSA compliance obligations for a micro provider? Specifically: notice and action mechanism, single point of contact for authorities, transparency reporting.</w:t>
      </w:r>
    </w:p>
    <w:p>
      <w:pPr>
        <w:pStyle w:val="ListParagraph"/>
        <w:numPr>
          <w:ilvl w:val="0"/>
          <w:numId w:val="2"/>
        </w:numPr>
        <w:spacing w:after="40" w:before="40" w:line="280"/>
      </w:pPr>
      <w:r>
        <w:rPr>
          <w:rFonts w:ascii="Arial" w:cs="Arial" w:eastAsia="Arial" w:hAnsi="Arial"/>
          <w:color w:val="1C1C18"/>
          <w:sz w:val="20"/>
          <w:szCs w:val="20"/>
        </w:rPr>
        <w:t xml:space="preserve">What constitutes acting 'expeditiously' in removing or disabling access to illegal content under the hosting liability exemption?</w:t>
      </w:r>
    </w:p>
    <w:p>
      <w:pPr>
        <w:pStyle w:val="ListParagraph"/>
        <w:numPr>
          <w:ilvl w:val="0"/>
          <w:numId w:val="2"/>
        </w:numPr>
        <w:spacing w:after="40" w:before="40" w:line="280"/>
      </w:pPr>
      <w:r>
        <w:rPr>
          <w:rFonts w:ascii="Arial" w:cs="Arial" w:eastAsia="Arial" w:hAnsi="Arial"/>
          <w:color w:val="1C1C18"/>
          <w:sz w:val="20"/>
          <w:szCs w:val="20"/>
        </w:rPr>
        <w:t xml:space="preserve">What formal complaints or dispute resolution mechanism does the DSA require the platform to have in place?</w:t>
      </w:r>
    </w:p>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2.3 GDPR compliance — updated questions</w:t>
      </w:r>
    </w:p>
    <w:p>
      <w:pPr>
        <w:pStyle w:val="ListParagraph"/>
        <w:numPr>
          <w:ilvl w:val="0"/>
          <w:numId w:val="2"/>
        </w:numPr>
        <w:spacing w:after="40" w:before="40" w:line="280"/>
      </w:pPr>
      <w:r>
        <w:rPr>
          <w:rFonts w:ascii="Arial" w:cs="Arial" w:eastAsia="Arial" w:hAnsi="Arial"/>
          <w:color w:val="1C1C18"/>
          <w:sz w:val="20"/>
          <w:szCs w:val="20"/>
        </w:rPr>
        <w:t xml:space="preserve">What is the appropriate lawful basis under Article 6 GDPR for processing structured report data? The founder believes legitimate interests under Article 6(1)(f) is correct and requires confirmation and a documented Legitimate Interests Assessment.</w:t>
      </w:r>
    </w:p>
    <w:p>
      <w:pPr>
        <w:pStyle w:val="ListParagraph"/>
        <w:numPr>
          <w:ilvl w:val="0"/>
          <w:numId w:val="2"/>
        </w:numPr>
        <w:spacing w:after="40" w:before="40" w:line="280"/>
      </w:pPr>
      <w:r>
        <w:rPr>
          <w:rFonts w:ascii="Arial" w:cs="Arial" w:eastAsia="Arial" w:hAnsi="Arial"/>
          <w:color w:val="1C1C18"/>
          <w:sz w:val="20"/>
          <w:szCs w:val="20"/>
        </w:rPr>
        <w:t xml:space="preserve">The email address is now required for verification. The founder's position is that the lawful basis for the verification email is legitimate interests under Article 6(1)(f) — fraud prevention — not consent. Please confirm whether this is correct.</w:t>
      </w:r>
    </w:p>
    <w:p>
      <w:pPr>
        <w:pStyle w:val="ListParagraph"/>
        <w:numPr>
          <w:ilvl w:val="0"/>
          <w:numId w:val="2"/>
        </w:numPr>
        <w:spacing w:after="40" w:before="40" w:line="280"/>
      </w:pPr>
      <w:r>
        <w:rPr>
          <w:rFonts w:ascii="Arial" w:cs="Arial" w:eastAsia="Arial" w:hAnsi="Arial"/>
          <w:color w:val="1C1C18"/>
          <w:sz w:val="20"/>
          <w:szCs w:val="20"/>
        </w:rPr>
        <w:t xml:space="preserve">The notification opt-in is a separate checkbox collecting separate consent under Article 6(1)(a). Please confirm these two bases are correctly separated and cannot be bundled.</w:t>
      </w:r>
    </w:p>
    <w:p>
      <w:pPr>
        <w:pStyle w:val="ListParagraph"/>
        <w:numPr>
          <w:ilvl w:val="0"/>
          <w:numId w:val="2"/>
        </w:numPr>
        <w:spacing w:after="40" w:before="40" w:line="280"/>
      </w:pPr>
      <w:r>
        <w:rPr>
          <w:rFonts w:ascii="Arial" w:cs="Arial" w:eastAsia="Arial" w:hAnsi="Arial"/>
          <w:color w:val="1C1C18"/>
          <w:sz w:val="20"/>
          <w:szCs w:val="20"/>
        </w:rPr>
        <w:t xml:space="preserve">The email address will serve as a bridge key to link submissions to future user accounts. Must this future use be disclosed in the Privacy Policy now under Article 13? What language is required?</w:t>
      </w:r>
    </w:p>
    <w:p>
      <w:pPr>
        <w:pStyle w:val="ListParagraph"/>
        <w:numPr>
          <w:ilvl w:val="0"/>
          <w:numId w:val="2"/>
        </w:numPr>
        <w:spacing w:after="40" w:before="40" w:line="280"/>
      </w:pPr>
      <w:r>
        <w:rPr>
          <w:rFonts w:ascii="Arial" w:cs="Arial" w:eastAsia="Arial" w:hAnsi="Arial"/>
          <w:color w:val="1C1C18"/>
          <w:sz w:val="20"/>
          <w:szCs w:val="20"/>
        </w:rPr>
        <w:t xml:space="preserve">Once accounts exist, processing transitions from potentially anonymous to pseudonymous — an internal chain of email to account to submissions will exist. What does this transition mean for GDPR obligations and what must the Privacy Policy say before accounts are launched?</w:t>
      </w:r>
    </w:p>
    <w:p>
      <w:pPr>
        <w:pStyle w:val="ListParagraph"/>
        <w:numPr>
          <w:ilvl w:val="0"/>
          <w:numId w:val="2"/>
        </w:numPr>
        <w:spacing w:after="40" w:before="40" w:line="280"/>
      </w:pPr>
      <w:r>
        <w:rPr>
          <w:rFonts w:ascii="Arial" w:cs="Arial" w:eastAsia="Arial" w:hAnsi="Arial"/>
          <w:color w:val="1C1C18"/>
          <w:sz w:val="20"/>
          <w:szCs w:val="20"/>
        </w:rPr>
        <w:t xml:space="preserve">Report data may incidentally include health-related information through the free text field and through the issue severity question ('Serious — health or safety impact'). Does this trigger Article 9 special category obligations? Is the substantial public interest exception under Article 9(2)(g) appropriate, or is a specific health data consent checkbox required? Does the existing consent screen cover this?</w:t>
      </w:r>
    </w:p>
    <w:p>
      <w:pPr>
        <w:pStyle w:val="ListParagraph"/>
        <w:numPr>
          <w:ilvl w:val="0"/>
          <w:numId w:val="2"/>
        </w:numPr>
        <w:spacing w:after="40" w:before="40" w:line="280"/>
      </w:pPr>
      <w:r>
        <w:rPr>
          <w:rFonts w:ascii="Arial" w:cs="Arial" w:eastAsia="Arial" w:hAnsi="Arial"/>
          <w:color w:val="1C1C18"/>
          <w:sz w:val="20"/>
          <w:szCs w:val="20"/>
        </w:rPr>
        <w:t xml:space="preserve">The optional management section collects agency and company names for potential future use in agency-level scoring products. Does using this data for commercial scoring products require a compatible purposes assessment under Article 6(4) or a new disclosure?</w:t>
      </w:r>
    </w:p>
    <w:p>
      <w:pPr>
        <w:pStyle w:val="ListParagraph"/>
        <w:numPr>
          <w:ilvl w:val="0"/>
          <w:numId w:val="2"/>
        </w:numPr>
        <w:spacing w:after="40" w:before="40" w:line="280"/>
      </w:pPr>
      <w:r>
        <w:rPr>
          <w:rFonts w:ascii="Arial" w:cs="Arial" w:eastAsia="Arial" w:hAnsi="Arial"/>
          <w:color w:val="1C1C18"/>
          <w:sz w:val="20"/>
          <w:szCs w:val="20"/>
        </w:rPr>
        <w:t xml:space="preserve">What data retention periods are appropriate for: (a) submitted report data; (b) email addresses for verification; (c) email addresses for notification; (d) moderation records including file numbers; (e) rejected submissions?</w:t>
      </w:r>
    </w:p>
    <w:p>
      <w:pPr>
        <w:pStyle w:val="ListParagraph"/>
        <w:numPr>
          <w:ilvl w:val="0"/>
          <w:numId w:val="2"/>
        </w:numPr>
        <w:spacing w:after="40" w:before="40" w:line="280"/>
      </w:pPr>
      <w:r>
        <w:rPr>
          <w:rFonts w:ascii="Arial" w:cs="Arial" w:eastAsia="Arial" w:hAnsi="Arial"/>
          <w:color w:val="1C1C18"/>
          <w:sz w:val="20"/>
          <w:szCs w:val="20"/>
        </w:rPr>
        <w:t xml:space="preserve">What constitutes a personal data breach in the context of this platform and what is the 72-hour notification obligation to the DPC under Article 33?</w:t>
      </w:r>
    </w:p>
    <w:p>
      <w:pPr>
        <w:pStyle w:val="ListParagraph"/>
        <w:numPr>
          <w:ilvl w:val="0"/>
          <w:numId w:val="2"/>
        </w:numPr>
        <w:spacing w:after="40" w:before="40" w:line="280"/>
      </w:pPr>
      <w:r>
        <w:rPr>
          <w:rFonts w:ascii="Arial" w:cs="Arial" w:eastAsia="Arial" w:hAnsi="Arial"/>
          <w:color w:val="1C1C18"/>
          <w:sz w:val="20"/>
          <w:szCs w:val="20"/>
        </w:rPr>
        <w:t xml:space="preserve">Is Supabase an appropriate processor under Article 28 and what contractual provisions are required in the Data Processing Agreement?</w:t>
      </w:r>
    </w:p>
    <w:p>
      <w:pPr>
        <w:pStyle w:val="ListParagraph"/>
        <w:numPr>
          <w:ilvl w:val="0"/>
          <w:numId w:val="2"/>
        </w:numPr>
        <w:spacing w:after="40" w:before="40" w:line="280"/>
      </w:pPr>
      <w:r>
        <w:rPr>
          <w:rFonts w:ascii="Arial" w:cs="Arial" w:eastAsia="Arial" w:hAnsi="Arial"/>
          <w:color w:val="1C1C18"/>
          <w:sz w:val="20"/>
          <w:szCs w:val="20"/>
        </w:rPr>
        <w:t xml:space="preserve">What records of processing activities are required under Article 30 GDPR at current scale?</w:t>
      </w:r>
    </w:p>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2.4 Company structure</w:t>
      </w:r>
    </w:p>
    <w:p>
      <w:pPr>
        <w:pStyle w:val="ListParagraph"/>
        <w:numPr>
          <w:ilvl w:val="0"/>
          <w:numId w:val="2"/>
        </w:numPr>
        <w:spacing w:after="40" w:before="40" w:line="280"/>
      </w:pPr>
      <w:r>
        <w:rPr>
          <w:rFonts w:ascii="Arial" w:cs="Arial" w:eastAsia="Arial" w:hAnsi="Arial"/>
          <w:color w:val="1C1C18"/>
          <w:sz w:val="20"/>
          <w:szCs w:val="20"/>
        </w:rPr>
        <w:t xml:space="preserve">Confirm that LTD is the appropriate structure. Company name 'Property Index Ireland Limited' already reserved.</w:t>
      </w:r>
    </w:p>
    <w:p>
      <w:pPr>
        <w:pStyle w:val="ListParagraph"/>
        <w:numPr>
          <w:ilvl w:val="0"/>
          <w:numId w:val="2"/>
        </w:numPr>
        <w:spacing w:after="40" w:before="40" w:line="280"/>
      </w:pPr>
      <w:r>
        <w:rPr>
          <w:rFonts w:ascii="Arial" w:cs="Arial" w:eastAsia="Arial" w:hAnsi="Arial"/>
          <w:color w:val="1C1C18"/>
          <w:sz w:val="20"/>
          <w:szCs w:val="20"/>
        </w:rPr>
        <w:t xml:space="preserve">What IP assignment steps are needed before any developer is engaged? Specifically a clause ensuring code written for the platform belongs to the company.</w:t>
      </w:r>
    </w:p>
    <w:p>
      <w:pPr>
        <w:pStyle w:val="ListParagraph"/>
        <w:numPr>
          <w:ilvl w:val="0"/>
          <w:numId w:val="2"/>
        </w:numPr>
        <w:spacing w:after="40" w:before="40" w:line="280"/>
      </w:pPr>
      <w:r>
        <w:rPr>
          <w:rFonts w:ascii="Arial" w:cs="Arial" w:eastAsia="Arial" w:hAnsi="Arial"/>
          <w:color w:val="1C1C18"/>
          <w:sz w:val="20"/>
          <w:szCs w:val="20"/>
        </w:rPr>
        <w:t xml:space="preserve">Should the platform trademark 'Property Index Ireland' and the PI mark? What is the process and cost through the Irish Patents Office?</w:t>
      </w:r>
    </w:p>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2.5 Revenue-related compliance</w:t>
      </w:r>
    </w:p>
    <w:p>
      <w:pPr>
        <w:pStyle w:val="ListParagraph"/>
        <w:numPr>
          <w:ilvl w:val="0"/>
          <w:numId w:val="2"/>
        </w:numPr>
        <w:spacing w:after="40" w:before="40" w:line="280"/>
      </w:pPr>
      <w:r>
        <w:rPr>
          <w:rFonts w:ascii="Arial" w:cs="Arial" w:eastAsia="Arial" w:hAnsi="Arial"/>
          <w:color w:val="1C1C18"/>
          <w:sz w:val="20"/>
          <w:szCs w:val="20"/>
        </w:rPr>
        <w:t xml:space="preserve">What consumer protection obligations apply when charging landlords and agents for subscription products?</w:t>
      </w:r>
    </w:p>
    <w:p>
      <w:pPr>
        <w:pStyle w:val="ListParagraph"/>
        <w:numPr>
          <w:ilvl w:val="0"/>
          <w:numId w:val="2"/>
        </w:numPr>
        <w:spacing w:after="40" w:before="40" w:line="280"/>
      </w:pPr>
      <w:r>
        <w:rPr>
          <w:rFonts w:ascii="Arial" w:cs="Arial" w:eastAsia="Arial" w:hAnsi="Arial"/>
          <w:color w:val="1C1C18"/>
          <w:sz w:val="20"/>
          <w:szCs w:val="20"/>
        </w:rPr>
        <w:t xml:space="preserve">What terms are required for the data licensing commercial arrangements?</w:t>
      </w:r>
    </w:p>
    <w:p>
      <w:pPr>
        <w:pStyle w:val="ListParagraph"/>
        <w:numPr>
          <w:ilvl w:val="0"/>
          <w:numId w:val="2"/>
        </w:numPr>
        <w:spacing w:after="40" w:before="40" w:line="280"/>
      </w:pPr>
      <w:r>
        <w:rPr>
          <w:rFonts w:ascii="Arial" w:cs="Arial" w:eastAsia="Arial" w:hAnsi="Arial"/>
          <w:color w:val="1C1C18"/>
          <w:sz w:val="20"/>
          <w:szCs w:val="20"/>
        </w:rPr>
        <w:t xml:space="preserve">At what revenue threshold does VAT registration become mandatory?</w:t>
      </w:r>
    </w:p>
    <w:p>
      <w:pPr>
        <w:pBdr>
          <w:bottom w:val="single" w:color="DDDDDD" w:sz="2" w:space="1"/>
        </w:pBdr>
        <w:spacing w:after="180" w:before="180"/>
      </w:pPr>
      <w:r>
        <w:t xml:space="preserve"/>
      </w:r>
    </w:p>
    <w:p>
      <w:r>
        <w:br w:type="page"/>
      </w:r>
    </w:p>
    <w:p>
      <w:pPr>
        <w:shd w:fill="1A3A2A" w:val="clear"/>
        <w:spacing w:after="160" w:before="320"/>
      </w:pPr>
      <w:r>
        <w:rPr>
          <w:rFonts w:ascii="Arial" w:cs="Arial" w:eastAsia="Arial" w:hAnsi="Arial"/>
          <w:b/>
          <w:bCs/>
          <w:color w:val="AEDE44"/>
          <w:sz w:val="26"/>
          <w:szCs w:val="26"/>
        </w:rPr>
        <w:t xml:space="preserve">  3. Documents Required from the Solicitor</w:t>
      </w:r>
    </w:p>
    <w:p>
      <w:pPr>
        <w:pBdr>
          <w:bottom w:val="single" w:color="AEDE44" w:sz="3" w:space="3"/>
        </w:pBdr>
        <w:spacing w:after="80" w:before="220"/>
      </w:pPr>
      <w:r>
        <w:rPr>
          <w:rFonts w:ascii="Arial" w:cs="Arial" w:eastAsia="Arial" w:hAnsi="Arial"/>
          <w:b/>
          <w:bCs/>
          <w:color w:val="1A3A2A"/>
          <w:sz w:val="22"/>
          <w:szCs w:val="22"/>
        </w:rPr>
        <w:t xml:space="preserve">3.1 Terms of Service</w:t>
      </w:r>
    </w:p>
    <w:p>
      <w:pPr>
        <w:spacing w:after="80" w:before="60" w:line="290"/>
      </w:pPr>
      <w:r>
        <w:rPr>
          <w:rFonts w:ascii="Arial" w:cs="Arial" w:eastAsia="Arial" w:hAnsi="Arial"/>
          <w:color w:val="1C1C18"/>
          <w:sz w:val="20"/>
          <w:szCs w:val="20"/>
        </w:rPr>
        <w:t xml:space="preserve">The solicitor is asked to review the draft Terms of Service and advise on or redraft:</w:t>
      </w:r>
    </w:p>
    <w:p>
      <w:pPr>
        <w:spacing w:after="0" w:before="100"/>
      </w:pPr>
      <w:r>
        <w:rPr>
          <w:sz w:val="20"/>
          <w:szCs w:val="20"/>
        </w:rPr>
        <w:t xml:space="preserve"/>
      </w:r>
    </w:p>
    <w:p>
      <w:pPr>
        <w:pStyle w:val="ListParagraph"/>
        <w:numPr>
          <w:ilvl w:val="0"/>
          <w:numId w:val="2"/>
        </w:numPr>
        <w:spacing w:after="40" w:before="40" w:line="280"/>
      </w:pPr>
      <w:r>
        <w:rPr>
          <w:rFonts w:ascii="Arial" w:cs="Arial" w:eastAsia="Arial" w:hAnsi="Arial"/>
          <w:color w:val="1C1C18"/>
          <w:sz w:val="20"/>
          <w:szCs w:val="20"/>
        </w:rPr>
        <w:t xml:space="preserve">User content responsibility — the consent screen already requires users to confirm genuineness. How does this interact with the indemnification clause?</w:t>
      </w:r>
    </w:p>
    <w:p>
      <w:pPr>
        <w:pStyle w:val="ListParagraph"/>
        <w:numPr>
          <w:ilvl w:val="0"/>
          <w:numId w:val="2"/>
        </w:numPr>
        <w:spacing w:after="40" w:before="40" w:line="280"/>
      </w:pPr>
      <w:r>
        <w:rPr>
          <w:rFonts w:ascii="Arial" w:cs="Arial" w:eastAsia="Arial" w:hAnsi="Arial"/>
          <w:color w:val="1C1C18"/>
          <w:sz w:val="20"/>
          <w:szCs w:val="20"/>
        </w:rPr>
        <w:t xml:space="preserve">Platform liability limitation clause</w:t>
      </w:r>
    </w:p>
    <w:p>
      <w:pPr>
        <w:pStyle w:val="ListParagraph"/>
        <w:numPr>
          <w:ilvl w:val="0"/>
          <w:numId w:val="2"/>
        </w:numPr>
        <w:spacing w:after="40" w:before="40" w:line="280"/>
      </w:pPr>
      <w:r>
        <w:rPr>
          <w:rFonts w:ascii="Arial" w:cs="Arial" w:eastAsia="Arial" w:hAnsi="Arial"/>
          <w:color w:val="1C1C18"/>
          <w:sz w:val="20"/>
          <w:szCs w:val="20"/>
        </w:rPr>
        <w:t xml:space="preserve">Notice and action / complaints procedure for disputed content</w:t>
      </w:r>
    </w:p>
    <w:p>
      <w:pPr>
        <w:pStyle w:val="ListParagraph"/>
        <w:numPr>
          <w:ilvl w:val="0"/>
          <w:numId w:val="2"/>
        </w:numPr>
        <w:spacing w:after="40" w:before="40" w:line="280"/>
      </w:pPr>
      <w:r>
        <w:rPr>
          <w:rFonts w:ascii="Arial" w:cs="Arial" w:eastAsia="Arial" w:hAnsi="Arial"/>
          <w:color w:val="1C1C18"/>
          <w:sz w:val="20"/>
          <w:szCs w:val="20"/>
        </w:rPr>
        <w:t xml:space="preserve">Data use licence — must cover: score generation, platform improvement, research, data licensing in aggregated anonymised form, and future agency-level performance products</w:t>
      </w:r>
    </w:p>
    <w:p>
      <w:pPr>
        <w:pStyle w:val="ListParagraph"/>
        <w:numPr>
          <w:ilvl w:val="0"/>
          <w:numId w:val="2"/>
        </w:numPr>
        <w:spacing w:after="40" w:before="40" w:line="280"/>
      </w:pPr>
      <w:r>
        <w:rPr>
          <w:rFonts w:ascii="Arial" w:cs="Arial" w:eastAsia="Arial" w:hAnsi="Arial"/>
          <w:color w:val="1C1C18"/>
          <w:sz w:val="20"/>
          <w:szCs w:val="20"/>
        </w:rPr>
        <w:t xml:space="preserve">Prohibited content provisions</w:t>
      </w:r>
    </w:p>
    <w:p>
      <w:pPr>
        <w:pStyle w:val="ListParagraph"/>
        <w:numPr>
          <w:ilvl w:val="0"/>
          <w:numId w:val="2"/>
        </w:numPr>
        <w:spacing w:after="40" w:before="40" w:line="280"/>
      </w:pPr>
      <w:r>
        <w:rPr>
          <w:rFonts w:ascii="Arial" w:cs="Arial" w:eastAsia="Arial" w:hAnsi="Arial"/>
          <w:color w:val="1C1C18"/>
          <w:sz w:val="20"/>
          <w:szCs w:val="20"/>
        </w:rPr>
        <w:t xml:space="preserve">Email collection for verification — clause confirming verification email purpose and that notification is separate opt-in</w:t>
      </w:r>
    </w:p>
    <w:p>
      <w:pPr>
        <w:pStyle w:val="ListParagraph"/>
        <w:numPr>
          <w:ilvl w:val="0"/>
          <w:numId w:val="2"/>
        </w:numPr>
        <w:spacing w:after="40" w:before="40" w:line="280"/>
      </w:pPr>
      <w:r>
        <w:rPr>
          <w:rFonts w:ascii="Arial" w:cs="Arial" w:eastAsia="Arial" w:hAnsi="Arial"/>
          <w:color w:val="1C1C18"/>
          <w:sz w:val="20"/>
          <w:szCs w:val="20"/>
        </w:rPr>
        <w:t xml:space="preserve">Account association — clause covering future linking of submissions to accounts via email bridge key</w:t>
      </w:r>
    </w:p>
    <w:p>
      <w:pPr>
        <w:pStyle w:val="ListParagraph"/>
        <w:numPr>
          <w:ilvl w:val="0"/>
          <w:numId w:val="2"/>
        </w:numPr>
        <w:spacing w:after="40" w:before="40" w:line="280"/>
      </w:pPr>
      <w:r>
        <w:rPr>
          <w:rFonts w:ascii="Arial" w:cs="Arial" w:eastAsia="Arial" w:hAnsi="Arial"/>
          <w:color w:val="1C1C18"/>
          <w:sz w:val="20"/>
          <w:szCs w:val="20"/>
        </w:rPr>
        <w:t xml:space="preserve">Governing law and jurisdiction — Irish law, Irish courts</w:t>
      </w:r>
    </w:p>
    <w:p>
      <w:pPr>
        <w:pStyle w:val="ListParagraph"/>
        <w:numPr>
          <w:ilvl w:val="0"/>
          <w:numId w:val="2"/>
        </w:numPr>
        <w:spacing w:after="40" w:before="40" w:line="280"/>
      </w:pPr>
      <w:r>
        <w:rPr>
          <w:rFonts w:ascii="Arial" w:cs="Arial" w:eastAsia="Arial" w:hAnsi="Arial"/>
          <w:color w:val="1C1C18"/>
          <w:sz w:val="20"/>
          <w:szCs w:val="20"/>
        </w:rPr>
        <w:t xml:space="preserve">Termination and account suspension provisions</w:t>
      </w:r>
    </w:p>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3.2 Privacy Policy</w:t>
      </w:r>
    </w:p>
    <w:p>
      <w:pPr>
        <w:spacing w:after="80" w:before="60" w:line="290"/>
      </w:pPr>
      <w:r>
        <w:rPr>
          <w:rFonts w:ascii="Arial" w:cs="Arial" w:eastAsia="Arial" w:hAnsi="Arial"/>
          <w:color w:val="1C1C18"/>
          <w:sz w:val="20"/>
          <w:szCs w:val="20"/>
        </w:rPr>
        <w:t xml:space="preserve">The solicitor is asked to review the draft Privacy Policy and ensure it meets all Article 13 GDPR obligations including:</w:t>
      </w:r>
    </w:p>
    <w:p>
      <w:pPr>
        <w:spacing w:after="0" w:before="100"/>
      </w:pPr>
      <w:r>
        <w:rPr>
          <w:sz w:val="20"/>
          <w:szCs w:val="20"/>
        </w:rPr>
        <w:t xml:space="preserve"/>
      </w:r>
    </w:p>
    <w:p>
      <w:pPr>
        <w:pStyle w:val="ListParagraph"/>
        <w:numPr>
          <w:ilvl w:val="0"/>
          <w:numId w:val="2"/>
        </w:numPr>
        <w:spacing w:after="40" w:before="40" w:line="280"/>
      </w:pPr>
      <w:r>
        <w:rPr>
          <w:rFonts w:ascii="Arial" w:cs="Arial" w:eastAsia="Arial" w:hAnsi="Arial"/>
          <w:color w:val="1C1C18"/>
          <w:sz w:val="20"/>
          <w:szCs w:val="20"/>
        </w:rPr>
        <w:t xml:space="preserve">Identity and contact details of the controller — company name to be inserted on incorporation</w:t>
      </w:r>
    </w:p>
    <w:p>
      <w:pPr>
        <w:pStyle w:val="ListParagraph"/>
        <w:numPr>
          <w:ilvl w:val="0"/>
          <w:numId w:val="2"/>
        </w:numPr>
        <w:spacing w:after="40" w:before="40" w:line="280"/>
      </w:pPr>
      <w:r>
        <w:rPr>
          <w:rFonts w:ascii="Arial" w:cs="Arial" w:eastAsia="Arial" w:hAnsi="Arial"/>
          <w:color w:val="1C1C18"/>
          <w:sz w:val="20"/>
          <w:szCs w:val="20"/>
        </w:rPr>
        <w:t xml:space="preserve">Purposes of processing and lawful basis for each category — particularly the split between legitimate interests for verification email and consent for notification email</w:t>
      </w:r>
    </w:p>
    <w:p>
      <w:pPr>
        <w:pStyle w:val="ListParagraph"/>
        <w:numPr>
          <w:ilvl w:val="0"/>
          <w:numId w:val="2"/>
        </w:numPr>
        <w:spacing w:after="40" w:before="40" w:line="280"/>
      </w:pPr>
      <w:r>
        <w:rPr>
          <w:rFonts w:ascii="Arial" w:cs="Arial" w:eastAsia="Arial" w:hAnsi="Arial"/>
          <w:color w:val="1C1C18"/>
          <w:sz w:val="20"/>
          <w:szCs w:val="20"/>
        </w:rPr>
        <w:t xml:space="preserve">Disclosure of the email bridge key — future use of email to link submissions to accounts</w:t>
      </w:r>
    </w:p>
    <w:p>
      <w:pPr>
        <w:pStyle w:val="ListParagraph"/>
        <w:numPr>
          <w:ilvl w:val="0"/>
          <w:numId w:val="2"/>
        </w:numPr>
        <w:spacing w:after="40" w:before="40" w:line="280"/>
      </w:pPr>
      <w:r>
        <w:rPr>
          <w:rFonts w:ascii="Arial" w:cs="Arial" w:eastAsia="Arial" w:hAnsi="Arial"/>
          <w:color w:val="1C1C18"/>
          <w:sz w:val="20"/>
          <w:szCs w:val="20"/>
        </w:rPr>
        <w:t xml:space="preserve">Pseudonymous processing language — must describe the processing correctly once accounts exist</w:t>
      </w:r>
    </w:p>
    <w:p>
      <w:pPr>
        <w:pStyle w:val="ListParagraph"/>
        <w:numPr>
          <w:ilvl w:val="0"/>
          <w:numId w:val="2"/>
        </w:numPr>
        <w:spacing w:after="40" w:before="40" w:line="280"/>
      </w:pPr>
      <w:r>
        <w:rPr>
          <w:rFonts w:ascii="Arial" w:cs="Arial" w:eastAsia="Arial" w:hAnsi="Arial"/>
          <w:color w:val="1C1C18"/>
          <w:sz w:val="20"/>
          <w:szCs w:val="20"/>
        </w:rPr>
        <w:t xml:space="preserve">Special category data provisions — health data risk from free text field and severity question</w:t>
      </w:r>
    </w:p>
    <w:p>
      <w:pPr>
        <w:pStyle w:val="ListParagraph"/>
        <w:numPr>
          <w:ilvl w:val="0"/>
          <w:numId w:val="2"/>
        </w:numPr>
        <w:spacing w:after="40" w:before="40" w:line="280"/>
      </w:pPr>
      <w:r>
        <w:rPr>
          <w:rFonts w:ascii="Arial" w:cs="Arial" w:eastAsia="Arial" w:hAnsi="Arial"/>
          <w:color w:val="1C1C18"/>
          <w:sz w:val="20"/>
          <w:szCs w:val="20"/>
        </w:rPr>
        <w:t xml:space="preserve">Agency name data — intended future use for agency-level scoring products</w:t>
      </w:r>
    </w:p>
    <w:p>
      <w:pPr>
        <w:pStyle w:val="ListParagraph"/>
        <w:numPr>
          <w:ilvl w:val="0"/>
          <w:numId w:val="2"/>
        </w:numPr>
        <w:spacing w:after="40" w:before="40" w:line="280"/>
      </w:pPr>
      <w:r>
        <w:rPr>
          <w:rFonts w:ascii="Arial" w:cs="Arial" w:eastAsia="Arial" w:hAnsi="Arial"/>
          <w:color w:val="1C1C18"/>
          <w:sz w:val="20"/>
          <w:szCs w:val="20"/>
        </w:rPr>
        <w:t xml:space="preserve">Data retention periods for all categories</w:t>
      </w:r>
    </w:p>
    <w:p>
      <w:pPr>
        <w:pStyle w:val="ListParagraph"/>
        <w:numPr>
          <w:ilvl w:val="0"/>
          <w:numId w:val="2"/>
        </w:numPr>
        <w:spacing w:after="40" w:before="40" w:line="280"/>
      </w:pPr>
      <w:r>
        <w:rPr>
          <w:rFonts w:ascii="Arial" w:cs="Arial" w:eastAsia="Arial" w:hAnsi="Arial"/>
          <w:color w:val="1C1C18"/>
          <w:sz w:val="20"/>
          <w:szCs w:val="20"/>
        </w:rPr>
        <w:t xml:space="preserve">Data subject rights — access, rectification, erasure, restriction, objection, portability</w:t>
      </w:r>
    </w:p>
    <w:p>
      <w:pPr>
        <w:pStyle w:val="ListParagraph"/>
        <w:numPr>
          <w:ilvl w:val="0"/>
          <w:numId w:val="2"/>
        </w:numPr>
        <w:spacing w:after="40" w:before="40" w:line="280"/>
      </w:pPr>
      <w:r>
        <w:rPr>
          <w:rFonts w:ascii="Arial" w:cs="Arial" w:eastAsia="Arial" w:hAnsi="Arial"/>
          <w:color w:val="1C1C18"/>
          <w:sz w:val="20"/>
          <w:szCs w:val="20"/>
        </w:rPr>
        <w:t xml:space="preserve">Right to complain to the DPC</w:t>
      </w:r>
    </w:p>
    <w:p>
      <w:pPr>
        <w:pStyle w:val="ListParagraph"/>
        <w:numPr>
          <w:ilvl w:val="0"/>
          <w:numId w:val="2"/>
        </w:numPr>
        <w:spacing w:after="40" w:before="40" w:line="280"/>
      </w:pPr>
      <w:r>
        <w:rPr>
          <w:rFonts w:ascii="Arial" w:cs="Arial" w:eastAsia="Arial" w:hAnsi="Arial"/>
          <w:color w:val="1C1C18"/>
          <w:sz w:val="20"/>
          <w:szCs w:val="20"/>
        </w:rPr>
        <w:t xml:space="preserve">International transfers — Supabase EU hosting, Google Analytics EU-US transfer, Cloudflare</w:t>
      </w:r>
    </w:p>
    <w:p>
      <w:pPr>
        <w:pStyle w:val="ListParagraph"/>
        <w:numPr>
          <w:ilvl w:val="0"/>
          <w:numId w:val="2"/>
        </w:numPr>
        <w:spacing w:after="40" w:before="40" w:line="280"/>
      </w:pPr>
      <w:r>
        <w:rPr>
          <w:rFonts w:ascii="Arial" w:cs="Arial" w:eastAsia="Arial" w:hAnsi="Arial"/>
          <w:color w:val="1C1C18"/>
          <w:sz w:val="20"/>
          <w:szCs w:val="20"/>
        </w:rPr>
        <w:t xml:space="preserve">MailerLite as data processor</w:t>
      </w:r>
    </w:p>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3.3 Moderation Policy (internal)</w:t>
      </w:r>
    </w:p>
    <w:p>
      <w:pPr>
        <w:spacing w:after="80" w:before="60" w:line="290"/>
      </w:pPr>
      <w:r>
        <w:rPr>
          <w:rFonts w:ascii="Arial" w:cs="Arial" w:eastAsia="Arial" w:hAnsi="Arial"/>
          <w:color w:val="1C1C18"/>
          <w:sz w:val="20"/>
          <w:szCs w:val="20"/>
        </w:rPr>
        <w:t xml:space="preserve">A short internal document supporting the Section 27 innocent publication defence documenting:</w:t>
      </w:r>
    </w:p>
    <w:p>
      <w:pPr>
        <w:pStyle w:val="ListParagraph"/>
        <w:numPr>
          <w:ilvl w:val="0"/>
          <w:numId w:val="2"/>
        </w:numPr>
        <w:spacing w:after="40" w:before="40" w:line="280"/>
      </w:pPr>
      <w:r>
        <w:rPr>
          <w:rFonts w:ascii="Arial" w:cs="Arial" w:eastAsia="Arial" w:hAnsi="Arial"/>
          <w:color w:val="1C1C18"/>
          <w:sz w:val="20"/>
          <w:szCs w:val="20"/>
        </w:rPr>
        <w:t xml:space="preserve">Criteria applied to reports before publication — what is rejected and why</w:t>
      </w:r>
    </w:p>
    <w:p>
      <w:pPr>
        <w:pStyle w:val="ListParagraph"/>
        <w:numPr>
          <w:ilvl w:val="0"/>
          <w:numId w:val="2"/>
        </w:numPr>
        <w:spacing w:after="40" w:before="40" w:line="280"/>
      </w:pPr>
      <w:r>
        <w:rPr>
          <w:rFonts w:ascii="Arial" w:cs="Arial" w:eastAsia="Arial" w:hAnsi="Arial"/>
          <w:color w:val="1C1C18"/>
          <w:sz w:val="20"/>
          <w:szCs w:val="20"/>
        </w:rPr>
        <w:t xml:space="preserve">The moderation process — who reviews, timeframe, what the decision record looks like</w:t>
      </w:r>
    </w:p>
    <w:p>
      <w:pPr>
        <w:pStyle w:val="ListParagraph"/>
        <w:numPr>
          <w:ilvl w:val="0"/>
          <w:numId w:val="2"/>
        </w:numPr>
        <w:spacing w:after="40" w:before="40" w:line="280"/>
      </w:pPr>
      <w:r>
        <w:rPr>
          <w:rFonts w:ascii="Arial" w:cs="Arial" w:eastAsia="Arial" w:hAnsi="Arial"/>
          <w:color w:val="1C1C18"/>
          <w:sz w:val="20"/>
          <w:szCs w:val="20"/>
        </w:rPr>
        <w:t xml:space="preserve">The file number system — PIR-YYYY-##### assigned to every submission</w:t>
      </w:r>
    </w:p>
    <w:p>
      <w:pPr>
        <w:pStyle w:val="ListParagraph"/>
        <w:numPr>
          <w:ilvl w:val="0"/>
          <w:numId w:val="2"/>
        </w:numPr>
        <w:spacing w:after="40" w:before="40" w:line="280"/>
      </w:pPr>
      <w:r>
        <w:rPr>
          <w:rFonts w:ascii="Arial" w:cs="Arial" w:eastAsia="Arial" w:hAnsi="Arial"/>
          <w:color w:val="1C1C18"/>
          <w:sz w:val="20"/>
          <w:szCs w:val="20"/>
        </w:rPr>
        <w:t xml:space="preserve">The dispute and takedown procedure — what happens when a landlord challenges a score</w:t>
      </w:r>
    </w:p>
    <w:p>
      <w:pPr>
        <w:pStyle w:val="ListParagraph"/>
        <w:numPr>
          <w:ilvl w:val="0"/>
          <w:numId w:val="2"/>
        </w:numPr>
        <w:spacing w:after="40" w:before="40" w:line="280"/>
      </w:pPr>
      <w:r>
        <w:rPr>
          <w:rFonts w:ascii="Arial" w:cs="Arial" w:eastAsia="Arial" w:hAnsi="Arial"/>
          <w:color w:val="1C1C18"/>
          <w:sz w:val="20"/>
          <w:szCs w:val="20"/>
        </w:rPr>
        <w:t xml:space="preserve">Retention period for moderation records</w:t>
      </w:r>
    </w:p>
    <w:p>
      <w:pPr>
        <w:pBdr>
          <w:bottom w:val="single" w:color="DDDDDD" w:sz="2" w:space="1"/>
        </w:pBdr>
        <w:spacing w:after="180" w:before="180"/>
      </w:pPr>
      <w:r>
        <w:t xml:space="preserve"/>
      </w:r>
    </w:p>
    <w:p>
      <w:r>
        <w:br w:type="page"/>
      </w:r>
    </w:p>
    <w:p>
      <w:pPr>
        <w:shd w:fill="1A3A2A" w:val="clear"/>
        <w:spacing w:after="160" w:before="320"/>
      </w:pPr>
      <w:r>
        <w:rPr>
          <w:rFonts w:ascii="Arial" w:cs="Arial" w:eastAsia="Arial" w:hAnsi="Arial"/>
          <w:b/>
          <w:bCs/>
          <w:color w:val="AEDE44"/>
          <w:sz w:val="26"/>
          <w:szCs w:val="26"/>
        </w:rPr>
        <w:t xml:space="preserve">  4. Data Flow Map</w:t>
      </w:r>
    </w:p>
    <w:p>
      <w:pPr>
        <w:pBdr>
          <w:bottom w:val="single" w:color="AEDE44" w:sz="3" w:space="3"/>
        </w:pBdr>
        <w:spacing w:after="80" w:before="220"/>
      </w:pPr>
      <w:r>
        <w:rPr>
          <w:rFonts w:ascii="Arial" w:cs="Arial" w:eastAsia="Arial" w:hAnsi="Arial"/>
          <w:b/>
          <w:bCs/>
          <w:color w:val="1A3A2A"/>
          <w:sz w:val="22"/>
          <w:szCs w:val="22"/>
        </w:rPr>
        <w:t xml:space="preserve">Flow 1 — Report submission with email verification</w:t>
      </w:r>
    </w:p>
    <w:p>
      <w:pPr>
        <w:pStyle w:val="ListParagraph"/>
        <w:numPr>
          <w:ilvl w:val="0"/>
          <w:numId w:val="2"/>
        </w:numPr>
        <w:spacing w:after="40" w:before="40" w:line="280"/>
      </w:pPr>
      <w:r>
        <w:rPr>
          <w:rFonts w:ascii="Arial" w:cs="Arial" w:eastAsia="Arial" w:hAnsi="Arial"/>
          <w:color w:val="1C1C18"/>
          <w:sz w:val="20"/>
          <w:szCs w:val="20"/>
        </w:rPr>
        <w:t xml:space="preserve">Tenant passes consent screen — two checkboxes ticked, Start button enabled</w:t>
      </w:r>
    </w:p>
    <w:p>
      <w:pPr>
        <w:pStyle w:val="ListParagraph"/>
        <w:numPr>
          <w:ilvl w:val="0"/>
          <w:numId w:val="2"/>
        </w:numPr>
        <w:spacing w:after="40" w:before="40" w:line="280"/>
      </w:pPr>
      <w:r>
        <w:rPr>
          <w:rFonts w:ascii="Arial" w:cs="Arial" w:eastAsia="Arial" w:hAnsi="Arial"/>
          <w:color w:val="1C1C18"/>
          <w:sz w:val="20"/>
          <w:szCs w:val="20"/>
        </w:rPr>
        <w:t xml:space="preserve">Tenant completes form across four steps</w:t>
      </w:r>
    </w:p>
    <w:p>
      <w:pPr>
        <w:pStyle w:val="ListParagraph"/>
        <w:numPr>
          <w:ilvl w:val="0"/>
          <w:numId w:val="2"/>
        </w:numPr>
        <w:spacing w:after="40" w:before="40" w:line="280"/>
      </w:pPr>
      <w:r>
        <w:rPr>
          <w:rFonts w:ascii="Arial" w:cs="Arial" w:eastAsia="Arial" w:hAnsi="Arial"/>
          <w:color w:val="1C1C18"/>
          <w:sz w:val="20"/>
          <w:szCs w:val="20"/>
        </w:rPr>
        <w:t xml:space="preserve">Form submitted via HTTPS to Supabase EU database — status: pending-verification</w:t>
      </w:r>
    </w:p>
    <w:p>
      <w:pPr>
        <w:pStyle w:val="ListParagraph"/>
        <w:numPr>
          <w:ilvl w:val="0"/>
          <w:numId w:val="2"/>
        </w:numPr>
        <w:spacing w:after="40" w:before="40" w:line="280"/>
      </w:pPr>
      <w:r>
        <w:rPr>
          <w:rFonts w:ascii="Arial" w:cs="Arial" w:eastAsia="Arial" w:hAnsi="Arial"/>
          <w:color w:val="1C1C18"/>
          <w:sz w:val="20"/>
          <w:szCs w:val="20"/>
        </w:rPr>
        <w:t xml:space="preserve">Verification email sent via Resend/similar to provided email address — one link only</w:t>
      </w:r>
    </w:p>
    <w:p>
      <w:pPr>
        <w:pStyle w:val="ListParagraph"/>
        <w:numPr>
          <w:ilvl w:val="0"/>
          <w:numId w:val="2"/>
        </w:numPr>
        <w:spacing w:after="40" w:before="40" w:line="280"/>
      </w:pPr>
      <w:r>
        <w:rPr>
          <w:rFonts w:ascii="Arial" w:cs="Arial" w:eastAsia="Arial" w:hAnsi="Arial"/>
          <w:color w:val="1C1C18"/>
          <w:sz w:val="20"/>
          <w:szCs w:val="20"/>
        </w:rPr>
        <w:t xml:space="preserve">Tenant clicks verification link — status changes to pending-moderation</w:t>
      </w:r>
    </w:p>
    <w:p>
      <w:pPr>
        <w:pStyle w:val="ListParagraph"/>
        <w:numPr>
          <w:ilvl w:val="0"/>
          <w:numId w:val="2"/>
        </w:numPr>
        <w:spacing w:after="40" w:before="40" w:line="280"/>
      </w:pPr>
      <w:r>
        <w:rPr>
          <w:rFonts w:ascii="Arial" w:cs="Arial" w:eastAsia="Arial" w:hAnsi="Arial"/>
          <w:color w:val="1C1C18"/>
          <w:sz w:val="20"/>
          <w:szCs w:val="20"/>
        </w:rPr>
        <w:t xml:space="preserve">Unverified submissions expire after 48 hours and are automatically deleted</w:t>
      </w:r>
    </w:p>
    <w:p>
      <w:pPr>
        <w:pStyle w:val="ListParagraph"/>
        <w:numPr>
          <w:ilvl w:val="0"/>
          <w:numId w:val="2"/>
        </w:numPr>
        <w:spacing w:after="40" w:before="40" w:line="280"/>
      </w:pPr>
      <w:r>
        <w:rPr>
          <w:rFonts w:ascii="Arial" w:cs="Arial" w:eastAsia="Arial" w:hAnsi="Arial"/>
          <w:color w:val="1C1C18"/>
          <w:sz w:val="20"/>
          <w:szCs w:val="20"/>
        </w:rPr>
        <w:t xml:space="preserve">Founder reviews verified report in moderation dashboard — file number PIR-YYYY-##### assigned</w:t>
      </w:r>
    </w:p>
    <w:p>
      <w:pPr>
        <w:pStyle w:val="ListParagraph"/>
        <w:numPr>
          <w:ilvl w:val="0"/>
          <w:numId w:val="2"/>
        </w:numPr>
        <w:spacing w:after="40" w:before="40" w:line="280"/>
      </w:pPr>
      <w:r>
        <w:rPr>
          <w:rFonts w:ascii="Arial" w:cs="Arial" w:eastAsia="Arial" w:hAnsi="Arial"/>
          <w:color w:val="1C1C18"/>
          <w:sz w:val="20"/>
          <w:szCs w:val="20"/>
        </w:rPr>
        <w:t xml:space="preserve">If approved: report data used to update property score. Individual report never published.</w:t>
      </w:r>
    </w:p>
    <w:p>
      <w:pPr>
        <w:pStyle w:val="ListParagraph"/>
        <w:numPr>
          <w:ilvl w:val="0"/>
          <w:numId w:val="2"/>
        </w:numPr>
        <w:spacing w:after="40" w:before="40" w:line="280"/>
      </w:pPr>
      <w:r>
        <w:rPr>
          <w:rFonts w:ascii="Arial" w:cs="Arial" w:eastAsia="Arial" w:hAnsi="Arial"/>
          <w:color w:val="1C1C18"/>
          <w:sz w:val="20"/>
          <w:szCs w:val="20"/>
        </w:rPr>
        <w:t xml:space="preserve">If rejected: rejection reason logged against file number. Report removed from active queue.</w:t>
      </w:r>
    </w:p>
    <w:p>
      <w:pPr>
        <w:pStyle w:val="ListParagraph"/>
        <w:numPr>
          <w:ilvl w:val="0"/>
          <w:numId w:val="2"/>
        </w:numPr>
        <w:spacing w:after="40" w:before="40" w:line="280"/>
      </w:pPr>
      <w:r>
        <w:rPr>
          <w:rFonts w:ascii="Arial" w:cs="Arial" w:eastAsia="Arial" w:hAnsi="Arial"/>
          <w:color w:val="1C1C18"/>
          <w:sz w:val="20"/>
          <w:szCs w:val="20"/>
        </w:rPr>
        <w:t xml:space="preserve">Email address retained against submission record in Supabase as bridge key for future account association</w:t>
      </w:r>
    </w:p>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Flow 2 — Notification email (separate consent)</w:t>
      </w:r>
    </w:p>
    <w:p>
      <w:pPr>
        <w:pStyle w:val="ListParagraph"/>
        <w:numPr>
          <w:ilvl w:val="0"/>
          <w:numId w:val="2"/>
        </w:numPr>
        <w:spacing w:after="40" w:before="40" w:line="280"/>
      </w:pPr>
      <w:r>
        <w:rPr>
          <w:rFonts w:ascii="Arial" w:cs="Arial" w:eastAsia="Arial" w:hAnsi="Arial"/>
          <w:color w:val="1C1C18"/>
          <w:sz w:val="20"/>
          <w:szCs w:val="20"/>
        </w:rPr>
        <w:t xml:space="preserve">If tenant opted in via the notification checkbox — separate from verification consent</w:t>
      </w:r>
    </w:p>
    <w:p>
      <w:pPr>
        <w:pStyle w:val="ListParagraph"/>
        <w:numPr>
          <w:ilvl w:val="0"/>
          <w:numId w:val="2"/>
        </w:numPr>
        <w:spacing w:after="40" w:before="40" w:line="280"/>
      </w:pPr>
      <w:r>
        <w:rPr>
          <w:rFonts w:ascii="Arial" w:cs="Arial" w:eastAsia="Arial" w:hAnsi="Arial"/>
          <w:color w:val="1C1C18"/>
          <w:sz w:val="20"/>
          <w:szCs w:val="20"/>
        </w:rPr>
        <w:t xml:space="preserve">When report approved: one notification email sent to confirmed email address</w:t>
      </w:r>
    </w:p>
    <w:p>
      <w:pPr>
        <w:pStyle w:val="ListParagraph"/>
        <w:numPr>
          <w:ilvl w:val="0"/>
          <w:numId w:val="2"/>
        </w:numPr>
        <w:spacing w:after="40" w:before="40" w:line="280"/>
      </w:pPr>
      <w:r>
        <w:rPr>
          <w:rFonts w:ascii="Arial" w:cs="Arial" w:eastAsia="Arial" w:hAnsi="Arial"/>
          <w:color w:val="1C1C18"/>
          <w:sz w:val="20"/>
          <w:szCs w:val="20"/>
        </w:rPr>
        <w:t xml:space="preserve">Lawful basis: consent Article 6(1)(a) — separate from verification legitimate interests basis</w:t>
      </w:r>
    </w:p>
    <w:p>
      <w:pPr>
        <w:pStyle w:val="ListParagraph"/>
        <w:numPr>
          <w:ilvl w:val="0"/>
          <w:numId w:val="2"/>
        </w:numPr>
        <w:spacing w:after="40" w:before="40" w:line="280"/>
      </w:pPr>
      <w:r>
        <w:rPr>
          <w:rFonts w:ascii="Arial" w:cs="Arial" w:eastAsia="Arial" w:hAnsi="Arial"/>
          <w:color w:val="1C1C18"/>
          <w:sz w:val="20"/>
          <w:szCs w:val="20"/>
        </w:rPr>
        <w:t xml:space="preserve">Tenant can withdraw this consent at any time</w:t>
      </w:r>
    </w:p>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Flow 3 — Future account association</w:t>
      </w:r>
    </w:p>
    <w:p>
      <w:pPr>
        <w:pStyle w:val="ListParagraph"/>
        <w:numPr>
          <w:ilvl w:val="0"/>
          <w:numId w:val="2"/>
        </w:numPr>
        <w:spacing w:after="40" w:before="40" w:line="280"/>
      </w:pPr>
      <w:r>
        <w:rPr>
          <w:rFonts w:ascii="Arial" w:cs="Arial" w:eastAsia="Arial" w:hAnsi="Arial"/>
          <w:color w:val="1C1C18"/>
          <w:sz w:val="20"/>
          <w:szCs w:val="20"/>
        </w:rPr>
        <w:t xml:space="preserve">When accounts are introduced, user creates account with same email used for submission</w:t>
      </w:r>
    </w:p>
    <w:p>
      <w:pPr>
        <w:pStyle w:val="ListParagraph"/>
        <w:numPr>
          <w:ilvl w:val="0"/>
          <w:numId w:val="2"/>
        </w:numPr>
        <w:spacing w:after="40" w:before="40" w:line="280"/>
      </w:pPr>
      <w:r>
        <w:rPr>
          <w:rFonts w:ascii="Arial" w:cs="Arial" w:eastAsia="Arial" w:hAnsi="Arial"/>
          <w:color w:val="1C1C18"/>
          <w:sz w:val="20"/>
          <w:szCs w:val="20"/>
        </w:rPr>
        <w:t xml:space="preserve">Platform performs lookup in Supabase — matches email to historical verified submissions</w:t>
      </w:r>
    </w:p>
    <w:p>
      <w:pPr>
        <w:pStyle w:val="ListParagraph"/>
        <w:numPr>
          <w:ilvl w:val="0"/>
          <w:numId w:val="2"/>
        </w:numPr>
        <w:spacing w:after="40" w:before="40" w:line="280"/>
      </w:pPr>
      <w:r>
        <w:rPr>
          <w:rFonts w:ascii="Arial" w:cs="Arial" w:eastAsia="Arial" w:hAnsi="Arial"/>
          <w:color w:val="1C1C18"/>
          <w:sz w:val="20"/>
          <w:szCs w:val="20"/>
        </w:rPr>
        <w:t xml:space="preserve">Historical submissions appear in user's account history</w:t>
      </w:r>
    </w:p>
    <w:p>
      <w:pPr>
        <w:pStyle w:val="ListParagraph"/>
        <w:numPr>
          <w:ilvl w:val="0"/>
          <w:numId w:val="2"/>
        </w:numPr>
        <w:spacing w:after="40" w:before="40" w:line="280"/>
      </w:pPr>
      <w:r>
        <w:rPr>
          <w:rFonts w:ascii="Arial" w:cs="Arial" w:eastAsia="Arial" w:hAnsi="Arial"/>
          <w:color w:val="1C1C18"/>
          <w:sz w:val="20"/>
          <w:szCs w:val="20"/>
        </w:rPr>
        <w:t xml:space="preserve">Processing transitions from anonymous to pseudonymous at this point — Privacy Policy must be updated before accounts launch</w:t>
      </w:r>
    </w:p>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Flow 4 — Property score display</w:t>
      </w:r>
    </w:p>
    <w:p>
      <w:pPr>
        <w:pStyle w:val="ListParagraph"/>
        <w:numPr>
          <w:ilvl w:val="0"/>
          <w:numId w:val="2"/>
        </w:numPr>
        <w:spacing w:after="40" w:before="40" w:line="280"/>
      </w:pPr>
      <w:r>
        <w:rPr>
          <w:rFonts w:ascii="Arial" w:cs="Arial" w:eastAsia="Arial" w:hAnsi="Arial"/>
          <w:color w:val="1C1C18"/>
          <w:sz w:val="20"/>
          <w:szCs w:val="20"/>
        </w:rPr>
        <w:t xml:space="preserve">Visitor searches for an address on propertyindexireland.ie</w:t>
      </w:r>
    </w:p>
    <w:p>
      <w:pPr>
        <w:pStyle w:val="ListParagraph"/>
        <w:numPr>
          <w:ilvl w:val="0"/>
          <w:numId w:val="2"/>
        </w:numPr>
        <w:spacing w:after="40" w:before="40" w:line="280"/>
      </w:pPr>
      <w:r>
        <w:rPr>
          <w:rFonts w:ascii="Arial" w:cs="Arial" w:eastAsia="Arial" w:hAnsi="Arial"/>
          <w:color w:val="1C1C18"/>
          <w:sz w:val="20"/>
          <w:szCs w:val="20"/>
        </w:rPr>
        <w:t xml:space="preserve">Aggregated score data returned — no individual report data exposed</w:t>
      </w:r>
    </w:p>
    <w:p>
      <w:pPr>
        <w:pStyle w:val="ListParagraph"/>
        <w:numPr>
          <w:ilvl w:val="0"/>
          <w:numId w:val="2"/>
        </w:numPr>
        <w:spacing w:after="40" w:before="40" w:line="280"/>
      </w:pPr>
      <w:r>
        <w:rPr>
          <w:rFonts w:ascii="Arial" w:cs="Arial" w:eastAsia="Arial" w:hAnsi="Arial"/>
          <w:color w:val="1C1C18"/>
          <w:sz w:val="20"/>
          <w:szCs w:val="20"/>
        </w:rPr>
        <w:t xml:space="preserve">Google Analytics records page view — anonymised</w:t>
      </w:r>
    </w:p>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Flow 5 — Data licensing</w:t>
      </w:r>
    </w:p>
    <w:p>
      <w:pPr>
        <w:pStyle w:val="ListParagraph"/>
        <w:numPr>
          <w:ilvl w:val="0"/>
          <w:numId w:val="2"/>
        </w:numPr>
        <w:spacing w:after="40" w:before="40" w:line="280"/>
      </w:pPr>
      <w:r>
        <w:rPr>
          <w:rFonts w:ascii="Arial" w:cs="Arial" w:eastAsia="Arial" w:hAnsi="Arial"/>
          <w:color w:val="1C1C18"/>
          <w:sz w:val="20"/>
          <w:szCs w:val="20"/>
        </w:rPr>
        <w:t xml:space="preserve">Aggregated anonymised data — county, area, or property type level statistics</w:t>
      </w:r>
    </w:p>
    <w:p>
      <w:pPr>
        <w:pStyle w:val="ListParagraph"/>
        <w:numPr>
          <w:ilvl w:val="0"/>
          <w:numId w:val="2"/>
        </w:numPr>
        <w:spacing w:after="40" w:before="40" w:line="280"/>
      </w:pPr>
      <w:r>
        <w:rPr>
          <w:rFonts w:ascii="Arial" w:cs="Arial" w:eastAsia="Arial" w:hAnsi="Arial"/>
          <w:color w:val="1C1C18"/>
          <w:sz w:val="20"/>
          <w:szCs w:val="20"/>
        </w:rPr>
        <w:t xml:space="preserve">No individual report data included. No data that could identify a tenant included.</w:t>
      </w:r>
    </w:p>
    <w:p>
      <w:pPr>
        <w:pStyle w:val="ListParagraph"/>
        <w:numPr>
          <w:ilvl w:val="0"/>
          <w:numId w:val="2"/>
        </w:numPr>
        <w:spacing w:after="40" w:before="40" w:line="280"/>
      </w:pPr>
      <w:r>
        <w:rPr>
          <w:rFonts w:ascii="Arial" w:cs="Arial" w:eastAsia="Arial" w:hAnsi="Arial"/>
          <w:color w:val="1C1C18"/>
          <w:sz w:val="20"/>
          <w:szCs w:val="20"/>
        </w:rPr>
        <w:t xml:space="preserve">Licensing agreements govern permitted use</w:t>
      </w:r>
    </w:p>
    <w:p>
      <w:pPr>
        <w:spacing w:after="0" w:before="100"/>
      </w:pPr>
      <w:r>
        <w:rPr>
          <w:sz w:val="20"/>
          <w:szCs w:val="20"/>
        </w:rPr>
        <w:t xml:space="preserve"/>
      </w:r>
    </w:p>
    <w:p>
      <w:pPr>
        <w:pBdr>
          <w:bottom w:val="single" w:color="AEDE44" w:sz="3" w:space="3"/>
        </w:pBdr>
        <w:spacing w:after="80" w:before="220"/>
      </w:pPr>
      <w:r>
        <w:rPr>
          <w:rFonts w:ascii="Arial" w:cs="Arial" w:eastAsia="Arial" w:hAnsi="Arial"/>
          <w:b/>
          <w:bCs/>
          <w:color w:val="1A3A2A"/>
          <w:sz w:val="22"/>
          <w:szCs w:val="22"/>
        </w:rPr>
        <w:t xml:space="preserve">Flow 6 — Agency performance data</w:t>
      </w:r>
    </w:p>
    <w:p>
      <w:pPr>
        <w:pStyle w:val="ListParagraph"/>
        <w:numPr>
          <w:ilvl w:val="0"/>
          <w:numId w:val="2"/>
        </w:numPr>
        <w:spacing w:after="40" w:before="40" w:line="280"/>
      </w:pPr>
      <w:r>
        <w:rPr>
          <w:rFonts w:ascii="Arial" w:cs="Arial" w:eastAsia="Arial" w:hAnsi="Arial"/>
          <w:color w:val="1C1C18"/>
          <w:sz w:val="20"/>
          <w:szCs w:val="20"/>
        </w:rPr>
        <w:t xml:space="preserve">Optional field in report form collects letting agency or management company name</w:t>
      </w:r>
    </w:p>
    <w:p>
      <w:pPr>
        <w:pStyle w:val="ListParagraph"/>
        <w:numPr>
          <w:ilvl w:val="0"/>
          <w:numId w:val="2"/>
        </w:numPr>
        <w:spacing w:after="40" w:before="40" w:line="280"/>
      </w:pPr>
      <w:r>
        <w:rPr>
          <w:rFonts w:ascii="Arial" w:cs="Arial" w:eastAsia="Arial" w:hAnsi="Arial"/>
          <w:color w:val="1C1C18"/>
          <w:sz w:val="20"/>
          <w:szCs w:val="20"/>
        </w:rPr>
        <w:t xml:space="preserve">Over time this builds agency-level performance records</w:t>
      </w:r>
    </w:p>
    <w:p>
      <w:pPr>
        <w:pStyle w:val="ListParagraph"/>
        <w:numPr>
          <w:ilvl w:val="0"/>
          <w:numId w:val="2"/>
        </w:numPr>
        <w:spacing w:after="40" w:before="40" w:line="280"/>
      </w:pPr>
      <w:r>
        <w:rPr>
          <w:rFonts w:ascii="Arial" w:cs="Arial" w:eastAsia="Arial" w:hAnsi="Arial"/>
          <w:color w:val="1C1C18"/>
          <w:sz w:val="20"/>
          <w:szCs w:val="20"/>
        </w:rPr>
        <w:t xml:space="preserve">Intended future use: Agent Portfolio Dashboard commercial product</w:t>
      </w:r>
    </w:p>
    <w:p>
      <w:pPr>
        <w:pStyle w:val="ListParagraph"/>
        <w:numPr>
          <w:ilvl w:val="0"/>
          <w:numId w:val="2"/>
        </w:numPr>
        <w:spacing w:after="40" w:before="40" w:line="280"/>
      </w:pPr>
      <w:r>
        <w:rPr>
          <w:rFonts w:ascii="Arial" w:cs="Arial" w:eastAsia="Arial" w:hAnsi="Arial"/>
          <w:color w:val="1C1C18"/>
          <w:sz w:val="20"/>
          <w:szCs w:val="20"/>
        </w:rPr>
        <w:t xml:space="preserve">SOLICITOR TO ADVISE: Does this intended future commercial use require disclosure now in Privacy Policy and data licence clause in Terms of Service?</w:t>
      </w:r>
    </w:p>
    <w:p>
      <w:pPr>
        <w:pBdr>
          <w:bottom w:val="single" w:color="DDDDDD" w:sz="2" w:space="1"/>
        </w:pBdr>
        <w:spacing w:after="180" w:before="180"/>
      </w:pPr>
      <w:r>
        <w:t xml:space="preserve"/>
      </w:r>
    </w:p>
    <w:p>
      <w:r>
        <w:br w:type="page"/>
      </w:r>
    </w:p>
    <w:p>
      <w:pPr>
        <w:shd w:fill="1A3A2A" w:val="clear"/>
        <w:spacing w:after="160" w:before="320"/>
      </w:pPr>
      <w:r>
        <w:rPr>
          <w:rFonts w:ascii="Arial" w:cs="Arial" w:eastAsia="Arial" w:hAnsi="Arial"/>
          <w:b/>
          <w:bCs/>
          <w:color w:val="AEDE44"/>
          <w:sz w:val="26"/>
          <w:szCs w:val="26"/>
        </w:rPr>
        <w:t xml:space="preserve">  5. Risk Register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26"/>
        <w:gridCol w:w="3000"/>
        <w:gridCol w:w="3000"/>
      </w:tblGrid>
      <w:tr>
        <w:tc>
          <w:tcPr>
            <w:tcW w:type="dxa" w:w="3026"/>
            <w:tcBorders>
              <w:top w:val="single" w:color="CCCCCC" w:sz="1"/>
              <w:left w:val="single" w:color="CCCCCC" w:sz="1"/>
              <w:bottom w:val="single" w:color="CCCCCC" w:sz="1"/>
              <w:right w:val="single" w:color="CCCCCC" w:sz="1"/>
            </w:tcBorders>
            <w:shd w:fill="1A3A2A" w:val="clear"/>
            <w:tcMar>
              <w:top w:type="dxa" w:w="80"/>
              <w:left w:type="dxa" w:w="120"/>
              <w:bottom w:type="dxa" w:w="80"/>
              <w:right w:type="dxa" w:w="120"/>
            </w:tcMar>
          </w:tcPr>
          <w:p>
            <w:r>
              <w:rPr>
                <w:rFonts w:ascii="Arial" w:cs="Arial" w:eastAsia="Arial" w:hAnsi="Arial"/>
                <w:b/>
                <w:bCs/>
                <w:color w:val="AEDE44"/>
                <w:sz w:val="19"/>
                <w:szCs w:val="19"/>
              </w:rPr>
              <w:t xml:space="preserve">Risk</w:t>
            </w:r>
          </w:p>
        </w:tc>
        <w:tc>
          <w:tcPr>
            <w:tcW w:type="dxa" w:w="3000"/>
            <w:tcBorders>
              <w:top w:val="single" w:color="CCCCCC" w:sz="1"/>
              <w:left w:val="single" w:color="CCCCCC" w:sz="1"/>
              <w:bottom w:val="single" w:color="CCCCCC" w:sz="1"/>
              <w:right w:val="single" w:color="CCCCCC" w:sz="1"/>
            </w:tcBorders>
            <w:shd w:fill="1A3A2A" w:val="clear"/>
            <w:tcMar>
              <w:top w:type="dxa" w:w="80"/>
              <w:left w:type="dxa" w:w="120"/>
              <w:bottom w:type="dxa" w:w="80"/>
              <w:right w:type="dxa" w:w="120"/>
            </w:tcMar>
          </w:tcPr>
          <w:p>
            <w:r>
              <w:rPr>
                <w:rFonts w:ascii="Arial" w:cs="Arial" w:eastAsia="Arial" w:hAnsi="Arial"/>
                <w:b/>
                <w:bCs/>
                <w:color w:val="AEDE44"/>
                <w:sz w:val="19"/>
                <w:szCs w:val="19"/>
              </w:rPr>
              <w:t xml:space="preserve">Likelihood / Impact</w:t>
            </w:r>
          </w:p>
        </w:tc>
        <w:tc>
          <w:tcPr>
            <w:tcW w:type="dxa" w:w="3000"/>
            <w:tcBorders>
              <w:top w:val="single" w:color="CCCCCC" w:sz="1"/>
              <w:left w:val="single" w:color="CCCCCC" w:sz="1"/>
              <w:bottom w:val="single" w:color="CCCCCC" w:sz="1"/>
              <w:right w:val="single" w:color="CCCCCC" w:sz="1"/>
            </w:tcBorders>
            <w:shd w:fill="1A3A2A" w:val="clear"/>
            <w:tcMar>
              <w:top w:type="dxa" w:w="80"/>
              <w:left w:type="dxa" w:w="120"/>
              <w:bottom w:type="dxa" w:w="80"/>
              <w:right w:type="dxa" w:w="120"/>
            </w:tcMar>
          </w:tcPr>
          <w:p>
            <w:r>
              <w:rPr>
                <w:rFonts w:ascii="Arial" w:cs="Arial" w:eastAsia="Arial" w:hAnsi="Arial"/>
                <w:b/>
                <w:bCs/>
                <w:color w:val="AEDE44"/>
                <w:sz w:val="19"/>
                <w:szCs w:val="19"/>
              </w:rPr>
              <w:t xml:space="preserve">Mitigation</w:t>
            </w:r>
          </w:p>
        </w:tc>
      </w:tr>
      <w:tr>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GDPR complaint — deletion request</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HIGH likelihood, LOW impact if process documented</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Documented deletion and anonymisation process. Response within 30 days. Supabase EU hosting. DPA with Supabase signed.</w:t>
            </w:r>
          </w:p>
        </w:tc>
      </w:tr>
      <w:tr>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GDPR complaint — unlawful basis for verification email</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MEDIUM likelihood</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Solicitor to confirm legitimate interests basis. Document the Legitimate Interests Assessment. Ensure notification consent remains strictly separate.</w:t>
            </w:r>
          </w:p>
        </w:tc>
      </w:tr>
      <w:tr>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DPC complaint — future account linking not disclosed</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MEDIUM likelihood if not addressed now</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Disclose email bridge key future use in Privacy Policy at point of collection. Solicitor to draft specific language.</w:t>
            </w:r>
          </w:p>
        </w:tc>
      </w:tr>
      <w:tr>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Defamation threat from landlord</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MEDIUM likelihood, LOW impact with proper documents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Section 27 defence. Consent screen. Structured input format. No named individuals. Moderation records. Anti-SLAPP provisions.</w:t>
            </w:r>
          </w:p>
        </w:tc>
      </w:tr>
      <w:tr>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Defamation threat from letting agency re agency scores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LOW-MEDIUM likelihood</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Section 12 amended serious harm threshold. Agency name collection disclosed in Privacy Policy. Data use licence covers this use.</w:t>
            </w:r>
          </w:p>
        </w:tc>
      </w:tr>
      <w:tr>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Health data processing without proper basis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MEDIUM likelihood of arising</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Solicitor to advise on Article 9 basis. Consent screen or specific health data checkbox to be added as advised.</w:t>
            </w:r>
          </w:p>
        </w:tc>
      </w:tr>
      <w:tr>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DSA non-compliance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LOW-MEDIUM</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Notice and action mechanism published. hello@propertyindexireland.ie as single point of contact. Moderation policy documented.</w:t>
            </w:r>
          </w:p>
        </w:tc>
      </w:tr>
      <w:tr>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Revenue before incorporation</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HIGH likelihood of occurring accidentally</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line="280"/>
            </w:pPr>
            <w:r>
              <w:rPr>
                <w:rFonts w:ascii="Arial" w:cs="Arial" w:eastAsia="Arial" w:hAnsi="Arial"/>
                <w:color w:val="1C1C18"/>
                <w:sz w:val="18"/>
                <w:szCs w:val="18"/>
              </w:rPr>
              <w:t xml:space="preserve">Incorporate before 5 June when name reservation expires. No money to be accepted before incorporation complete.</w:t>
            </w:r>
          </w:p>
        </w:tc>
      </w:tr>
    </w:tbl>
    <w:p>
      <w:pPr>
        <w:pBdr>
          <w:bottom w:val="single" w:color="DDDDDD" w:sz="2" w:space="1"/>
        </w:pBdr>
        <w:spacing w:after="180" w:before="180"/>
      </w:pPr>
      <w:r>
        <w:t xml:space="preserve"/>
      </w:r>
    </w:p>
    <w:p>
      <w:r>
        <w:br w:type="page"/>
      </w:r>
    </w:p>
    <w:p>
      <w:pPr>
        <w:shd w:fill="1A3A2A" w:val="clear"/>
        <w:spacing w:after="160" w:before="320"/>
      </w:pPr>
      <w:r>
        <w:rPr>
          <w:rFonts w:ascii="Arial" w:cs="Arial" w:eastAsia="Arial" w:hAnsi="Arial"/>
          <w:b/>
          <w:bCs/>
          <w:color w:val="AEDE44"/>
          <w:sz w:val="26"/>
          <w:szCs w:val="26"/>
        </w:rPr>
        <w:t xml:space="preserve">  6. Practical Questions for the Consultation</w:t>
      </w:r>
    </w:p>
    <w:p>
      <w:pPr>
        <w:pStyle w:val="ListParagraph"/>
        <w:numPr>
          <w:ilvl w:val="0"/>
          <w:numId w:val="2"/>
        </w:numPr>
        <w:spacing w:after="40" w:before="40" w:line="280"/>
      </w:pPr>
      <w:r>
        <w:rPr>
          <w:rFonts w:ascii="Arial" w:cs="Arial" w:eastAsia="Arial" w:hAnsi="Arial"/>
          <w:color w:val="1C1C18"/>
          <w:sz w:val="20"/>
          <w:szCs w:val="20"/>
        </w:rPr>
        <w:t xml:space="preserve">Is the draft Terms of Service legally adequate for launch? What are the critical gaps?</w:t>
      </w:r>
    </w:p>
    <w:p>
      <w:pPr>
        <w:pStyle w:val="ListParagraph"/>
        <w:numPr>
          <w:ilvl w:val="0"/>
          <w:numId w:val="2"/>
        </w:numPr>
        <w:spacing w:after="40" w:before="40" w:line="280"/>
      </w:pPr>
      <w:r>
        <w:rPr>
          <w:rFonts w:ascii="Arial" w:cs="Arial" w:eastAsia="Arial" w:hAnsi="Arial"/>
          <w:color w:val="1C1C18"/>
          <w:sz w:val="20"/>
          <w:szCs w:val="20"/>
        </w:rPr>
        <w:t xml:space="preserve">Is the draft Privacy Policy GDPR compliant? What is missing — particularly regarding the email bridge key, pseudonymous processing disclosure, and future account association?</w:t>
      </w:r>
    </w:p>
    <w:p>
      <w:pPr>
        <w:pStyle w:val="ListParagraph"/>
        <w:numPr>
          <w:ilvl w:val="0"/>
          <w:numId w:val="2"/>
        </w:numPr>
        <w:spacing w:after="40" w:before="40" w:line="280"/>
      </w:pPr>
      <w:r>
        <w:rPr>
          <w:rFonts w:ascii="Arial" w:cs="Arial" w:eastAsia="Arial" w:hAnsi="Arial"/>
          <w:color w:val="1C1C18"/>
          <w:sz w:val="20"/>
          <w:szCs w:val="20"/>
        </w:rPr>
        <w:t xml:space="preserve">Is legitimate interests the correct lawful basis for the required verification email? Please confirm the split between legitimate interests for verification and consent for notification is correctly designed.</w:t>
      </w:r>
    </w:p>
    <w:p>
      <w:pPr>
        <w:pStyle w:val="ListParagraph"/>
        <w:numPr>
          <w:ilvl w:val="0"/>
          <w:numId w:val="2"/>
        </w:numPr>
        <w:spacing w:after="40" w:before="40" w:line="280"/>
      </w:pPr>
      <w:r>
        <w:rPr>
          <w:rFonts w:ascii="Arial" w:cs="Arial" w:eastAsia="Arial" w:hAnsi="Arial"/>
          <w:color w:val="1C1C18"/>
          <w:sz w:val="20"/>
          <w:szCs w:val="20"/>
        </w:rPr>
        <w:t xml:space="preserve">Does the mandatory consent screen before the form start — two active checkboxes — adequately cover the user acknowledgment obligations and strengthen the Section 27 reasonable care defence?</w:t>
      </w:r>
    </w:p>
    <w:p>
      <w:pPr>
        <w:pStyle w:val="ListParagraph"/>
        <w:numPr>
          <w:ilvl w:val="0"/>
          <w:numId w:val="2"/>
        </w:numPr>
        <w:spacing w:after="40" w:before="40" w:line="280"/>
      </w:pPr>
      <w:r>
        <w:rPr>
          <w:rFonts w:ascii="Arial" w:cs="Arial" w:eastAsia="Arial" w:hAnsi="Arial"/>
          <w:color w:val="1C1C18"/>
          <w:sz w:val="20"/>
          <w:szCs w:val="20"/>
        </w:rPr>
        <w:t xml:space="preserve">Does the incidental collection of health data through the free text field and severity question trigger Article 9? If so what is the appropriate basis and does the consent screen need a specific health data checkbox?</w:t>
      </w:r>
    </w:p>
    <w:p>
      <w:pPr>
        <w:pStyle w:val="ListParagraph"/>
        <w:numPr>
          <w:ilvl w:val="0"/>
          <w:numId w:val="2"/>
        </w:numPr>
        <w:spacing w:after="40" w:before="40" w:line="280"/>
      </w:pPr>
      <w:r>
        <w:rPr>
          <w:rFonts w:ascii="Arial" w:cs="Arial" w:eastAsia="Arial" w:hAnsi="Arial"/>
          <w:color w:val="1C1C18"/>
          <w:sz w:val="20"/>
          <w:szCs w:val="20"/>
        </w:rPr>
        <w:t xml:space="preserve">Does the intended future use of the email address as a bridge key for account association need to be disclosed in the Privacy Policy now? What language is required?</w:t>
      </w:r>
    </w:p>
    <w:p>
      <w:pPr>
        <w:pStyle w:val="ListParagraph"/>
        <w:numPr>
          <w:ilvl w:val="0"/>
          <w:numId w:val="2"/>
        </w:numPr>
        <w:spacing w:after="40" w:before="40" w:line="280"/>
      </w:pPr>
      <w:r>
        <w:rPr>
          <w:rFonts w:ascii="Arial" w:cs="Arial" w:eastAsia="Arial" w:hAnsi="Arial"/>
          <w:color w:val="1C1C18"/>
          <w:sz w:val="20"/>
          <w:szCs w:val="20"/>
        </w:rPr>
        <w:t xml:space="preserve">What does processing transitioning from anonymous to pseudonymous mean for our GDPR obligations and what must the Privacy Policy say before accounts are launched?</w:t>
      </w:r>
    </w:p>
    <w:p>
      <w:pPr>
        <w:pStyle w:val="ListParagraph"/>
        <w:numPr>
          <w:ilvl w:val="0"/>
          <w:numId w:val="2"/>
        </w:numPr>
        <w:spacing w:after="40" w:before="40" w:line="280"/>
      </w:pPr>
      <w:r>
        <w:rPr>
          <w:rFonts w:ascii="Arial" w:cs="Arial" w:eastAsia="Arial" w:hAnsi="Arial"/>
          <w:color w:val="1C1C18"/>
          <w:sz w:val="20"/>
          <w:szCs w:val="20"/>
        </w:rPr>
        <w:t xml:space="preserve">Does the optional collection of agency names for future agency performance scoring require additional disclosure or a compatible purposes assessment?</w:t>
      </w:r>
    </w:p>
    <w:p>
      <w:pPr>
        <w:pStyle w:val="ListParagraph"/>
        <w:numPr>
          <w:ilvl w:val="0"/>
          <w:numId w:val="2"/>
        </w:numPr>
        <w:spacing w:after="40" w:before="40" w:line="280"/>
      </w:pPr>
      <w:r>
        <w:rPr>
          <w:rFonts w:ascii="Arial" w:cs="Arial" w:eastAsia="Arial" w:hAnsi="Arial"/>
          <w:color w:val="1C1C18"/>
          <w:sz w:val="20"/>
          <w:szCs w:val="20"/>
        </w:rPr>
        <w:t xml:space="preserve">Is a Data Protection Officer required at this stage?</w:t>
      </w:r>
    </w:p>
    <w:p>
      <w:pPr>
        <w:pStyle w:val="ListParagraph"/>
        <w:numPr>
          <w:ilvl w:val="0"/>
          <w:numId w:val="2"/>
        </w:numPr>
        <w:spacing w:after="40" w:before="40" w:line="280"/>
      </w:pPr>
      <w:r>
        <w:rPr>
          <w:rFonts w:ascii="Arial" w:cs="Arial" w:eastAsia="Arial" w:hAnsi="Arial"/>
          <w:color w:val="1C1C18"/>
          <w:sz w:val="20"/>
          <w:szCs w:val="20"/>
        </w:rPr>
        <w:t xml:space="preserve">What does a compliant notice and action mechanism look like under the DSA for a micro platform?</w:t>
      </w:r>
    </w:p>
    <w:p>
      <w:pPr>
        <w:pStyle w:val="ListParagraph"/>
        <w:numPr>
          <w:ilvl w:val="0"/>
          <w:numId w:val="2"/>
        </w:numPr>
        <w:spacing w:after="40" w:before="40" w:line="280"/>
      </w:pPr>
      <w:r>
        <w:rPr>
          <w:rFonts w:ascii="Arial" w:cs="Arial" w:eastAsia="Arial" w:hAnsi="Arial"/>
          <w:color w:val="1C1C18"/>
          <w:sz w:val="20"/>
          <w:szCs w:val="20"/>
        </w:rPr>
        <w:t xml:space="preserve">Please confirm LTD is the correct structure. The name is already reserved.</w:t>
      </w:r>
    </w:p>
    <w:p>
      <w:pPr>
        <w:pStyle w:val="ListParagraph"/>
        <w:numPr>
          <w:ilvl w:val="0"/>
          <w:numId w:val="2"/>
        </w:numPr>
        <w:spacing w:after="40" w:before="40" w:line="280"/>
      </w:pPr>
      <w:r>
        <w:rPr>
          <w:rFonts w:ascii="Arial" w:cs="Arial" w:eastAsia="Arial" w:hAnsi="Arial"/>
          <w:color w:val="1C1C18"/>
          <w:sz w:val="20"/>
          <w:szCs w:val="20"/>
        </w:rPr>
        <w:t xml:space="preserve">What IP protection steps are needed before engaging a developer?</w:t>
      </w:r>
    </w:p>
    <w:p>
      <w:pPr>
        <w:pStyle w:val="ListParagraph"/>
        <w:numPr>
          <w:ilvl w:val="0"/>
          <w:numId w:val="2"/>
        </w:numPr>
        <w:spacing w:after="40" w:before="40" w:line="280"/>
      </w:pPr>
      <w:r>
        <w:rPr>
          <w:rFonts w:ascii="Arial" w:cs="Arial" w:eastAsia="Arial" w:hAnsi="Arial"/>
          <w:color w:val="1C1C18"/>
          <w:sz w:val="20"/>
          <w:szCs w:val="20"/>
        </w:rPr>
        <w:t xml:space="preserve">What does the moderation policy document need to contain to support the Section 27 defence? Does the file number system PIR-YYYY-##### add value to this defence?</w:t>
      </w:r>
    </w:p>
    <w:p>
      <w:pPr>
        <w:pStyle w:val="ListParagraph"/>
        <w:numPr>
          <w:ilvl w:val="0"/>
          <w:numId w:val="2"/>
        </w:numPr>
        <w:spacing w:after="40" w:before="40" w:line="280"/>
      </w:pPr>
      <w:r>
        <w:rPr>
          <w:rFonts w:ascii="Arial" w:cs="Arial" w:eastAsia="Arial" w:hAnsi="Arial"/>
          <w:color w:val="1C1C18"/>
          <w:sz w:val="20"/>
          <w:szCs w:val="20"/>
        </w:rPr>
        <w:t xml:space="preserve">What is your fixed fee for: (a) this consultation; (b) finalising the Terms of Service; (c) finalising the Privacy Policy; (d) drafting the moderation policy?</w:t>
      </w:r>
    </w:p>
    <w:p>
      <w:pPr>
        <w:pBdr>
          <w:bottom w:val="single" w:color="DDDDDD" w:sz="2" w:space="1"/>
        </w:pBdr>
        <w:spacing w:after="180" w:before="180"/>
      </w:pPr>
      <w:r>
        <w:t xml:space="preserve"/>
      </w:r>
    </w:p>
    <w:p>
      <w:pPr>
        <w:shd w:fill="1A3A2A" w:val="clear"/>
        <w:spacing w:after="160" w:before="320"/>
      </w:pPr>
      <w:r>
        <w:rPr>
          <w:rFonts w:ascii="Arial" w:cs="Arial" w:eastAsia="Arial" w:hAnsi="Arial"/>
          <w:b/>
          <w:bCs/>
          <w:color w:val="AEDE44"/>
          <w:sz w:val="26"/>
          <w:szCs w:val="26"/>
        </w:rPr>
        <w:t xml:space="preserve">  7. Relevant Legislation</w:t>
      </w:r>
    </w:p>
    <w:p>
      <w:pPr>
        <w:pStyle w:val="ListParagraph"/>
        <w:numPr>
          <w:ilvl w:val="0"/>
          <w:numId w:val="2"/>
        </w:numPr>
        <w:spacing w:after="40" w:before="40" w:line="280"/>
      </w:pPr>
      <w:r>
        <w:rPr>
          <w:rFonts w:ascii="Arial" w:cs="Arial" w:eastAsia="Arial" w:hAnsi="Arial"/>
          <w:color w:val="1C1C18"/>
          <w:sz w:val="20"/>
          <w:szCs w:val="20"/>
        </w:rPr>
        <w:t xml:space="preserve">Defamation Act 2009 (No. 31 of 2009) as revised to March 2026 — Section 27 (innocent publication), Section 26 (fair publication on matter of public interest), Section 12 (defamation of body corporate — serious harm threshold), Part 4A (anti-SLAPP provisions)</w:t>
      </w:r>
    </w:p>
    <w:p>
      <w:pPr>
        <w:pStyle w:val="ListParagraph"/>
        <w:numPr>
          <w:ilvl w:val="0"/>
          <w:numId w:val="2"/>
        </w:numPr>
        <w:spacing w:after="40" w:before="40" w:line="280"/>
      </w:pPr>
      <w:r>
        <w:rPr>
          <w:rFonts w:ascii="Arial" w:cs="Arial" w:eastAsia="Arial" w:hAnsi="Arial"/>
          <w:color w:val="1C1C18"/>
          <w:sz w:val="20"/>
          <w:szCs w:val="20"/>
        </w:rPr>
        <w:t xml:space="preserve">Defamation (Amendment) Act 2026 (No. 2 of 2026) — abolition of juries, serious harm threshold for body corporates, anti-SLAPP provisions</w:t>
      </w:r>
    </w:p>
    <w:p>
      <w:pPr>
        <w:pStyle w:val="ListParagraph"/>
        <w:numPr>
          <w:ilvl w:val="0"/>
          <w:numId w:val="2"/>
        </w:numPr>
        <w:spacing w:after="40" w:before="40" w:line="280"/>
      </w:pPr>
      <w:r>
        <w:rPr>
          <w:rFonts w:ascii="Arial" w:cs="Arial" w:eastAsia="Arial" w:hAnsi="Arial"/>
          <w:color w:val="1C1C18"/>
          <w:sz w:val="20"/>
          <w:szCs w:val="20"/>
        </w:rPr>
        <w:t xml:space="preserve">Regulation (EU) 2016/679 (GDPR) — Articles 4, 5, 6, 7, 9, 11, 12, 13, 17, 30, 33</w:t>
      </w:r>
    </w:p>
    <w:p>
      <w:pPr>
        <w:pStyle w:val="ListParagraph"/>
        <w:numPr>
          <w:ilvl w:val="0"/>
          <w:numId w:val="2"/>
        </w:numPr>
        <w:spacing w:after="40" w:before="40" w:line="280"/>
      </w:pPr>
      <w:r>
        <w:rPr>
          <w:rFonts w:ascii="Arial" w:cs="Arial" w:eastAsia="Arial" w:hAnsi="Arial"/>
          <w:color w:val="1C1C18"/>
          <w:sz w:val="20"/>
          <w:szCs w:val="20"/>
        </w:rPr>
        <w:t xml:space="preserve">Data Protection Act 2018 — Irish implementation of GDPR</w:t>
      </w:r>
    </w:p>
    <w:p>
      <w:pPr>
        <w:pStyle w:val="ListParagraph"/>
        <w:numPr>
          <w:ilvl w:val="0"/>
          <w:numId w:val="2"/>
        </w:numPr>
        <w:spacing w:after="40" w:before="40" w:line="280"/>
      </w:pPr>
      <w:r>
        <w:rPr>
          <w:rFonts w:ascii="Arial" w:cs="Arial" w:eastAsia="Arial" w:hAnsi="Arial"/>
          <w:color w:val="1C1C18"/>
          <w:sz w:val="20"/>
          <w:szCs w:val="20"/>
        </w:rPr>
        <w:t xml:space="preserve">European Communities (Directive 2000/31/EC) Regulations 2003 (SI 68/2003) — E-Commerce Directive, hosting liability</w:t>
      </w:r>
    </w:p>
    <w:p>
      <w:pPr>
        <w:pStyle w:val="ListParagraph"/>
        <w:numPr>
          <w:ilvl w:val="0"/>
          <w:numId w:val="2"/>
        </w:numPr>
        <w:spacing w:after="40" w:before="40" w:line="280"/>
      </w:pPr>
      <w:r>
        <w:rPr>
          <w:rFonts w:ascii="Arial" w:cs="Arial" w:eastAsia="Arial" w:hAnsi="Arial"/>
          <w:color w:val="1C1C18"/>
          <w:sz w:val="20"/>
          <w:szCs w:val="20"/>
        </w:rPr>
        <w:t xml:space="preserve">Regulation (EU) 2022/2065 (Digital Services Act) — Articles 6, 7, 11, 14, 15, 16 for hosting service providers</w:t>
      </w:r>
    </w:p>
    <w:p>
      <w:pPr>
        <w:pStyle w:val="ListParagraph"/>
        <w:numPr>
          <w:ilvl w:val="0"/>
          <w:numId w:val="2"/>
        </w:numPr>
        <w:spacing w:after="40" w:before="40" w:line="280"/>
      </w:pPr>
      <w:r>
        <w:rPr>
          <w:rFonts w:ascii="Arial" w:cs="Arial" w:eastAsia="Arial" w:hAnsi="Arial"/>
          <w:color w:val="1C1C18"/>
          <w:sz w:val="20"/>
          <w:szCs w:val="20"/>
        </w:rPr>
        <w:t xml:space="preserve">Consumer Rights Act 2022 — digital content and services</w:t>
      </w:r>
    </w:p>
    <w:p>
      <w:pPr>
        <w:pStyle w:val="ListParagraph"/>
        <w:numPr>
          <w:ilvl w:val="0"/>
          <w:numId w:val="2"/>
        </w:numPr>
        <w:spacing w:after="40" w:before="40" w:line="280"/>
      </w:pPr>
      <w:r>
        <w:rPr>
          <w:rFonts w:ascii="Arial" w:cs="Arial" w:eastAsia="Arial" w:hAnsi="Arial"/>
          <w:color w:val="1C1C18"/>
          <w:sz w:val="20"/>
          <w:szCs w:val="20"/>
        </w:rPr>
        <w:t xml:space="preserve">Companies Act 2014 — company formation and governance</w:t>
      </w:r>
    </w:p>
    <w:p>
      <w:pPr>
        <w:spacing w:after="0" w:before="100"/>
      </w:pPr>
      <w:r>
        <w:rPr>
          <w:sz w:val="20"/>
          <w:szCs w:val="20"/>
        </w:rPr>
        <w:t xml:space="preserve"/>
      </w:r>
    </w:p>
    <w:p>
      <w:pPr>
        <w:spacing w:after="0" w:before="100"/>
      </w:pPr>
      <w:r>
        <w:rPr>
          <w:sz w:val="20"/>
          <w:szCs w:val="20"/>
        </w:rPr>
        <w:t xml:space="preserve"/>
      </w:r>
    </w:p>
    <w:p>
      <w:pPr>
        <w:spacing w:after="0" w:before="200"/>
      </w:pPr>
      <w:r>
        <w:rPr>
          <w:rFonts w:ascii="Arial" w:cs="Arial" w:eastAsia="Arial" w:hAnsi="Arial"/>
          <w:i/>
          <w:iCs/>
          <w:color w:val="666666"/>
          <w:sz w:val="16"/>
          <w:szCs w:val="16"/>
        </w:rPr>
        <w:t xml:space="preserve">Prepared by the founder of Property Index Ireland  |  May 2026  |  Confidential — for legal advice purposes</w:t>
      </w:r>
    </w:p>
    <w:p>
      <w:pPr>
        <w:spacing w:after="0" w:before="40"/>
      </w:pPr>
      <w:r>
        <w:rPr>
          <w:rFonts w:ascii="Arial" w:cs="Arial" w:eastAsia="Arial" w:hAnsi="Arial"/>
          <w:color w:val="666666"/>
          <w:sz w:val="16"/>
          <w:szCs w:val="16"/>
        </w:rPr>
        <w:t xml:space="preserve">hello@propertyindexireland.ie  |  propertyindexireland.ie</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C1C1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2026-05-17T10:20:54.806Z</dcterms:created>
  <dcterms:modified xsi:type="dcterms:W3CDTF">2026-05-17T10:20:54.806Z</dcterms:modified>
</cp:coreProperties>
</file>

<file path=docProps/custom.xml><?xml version="1.0" encoding="utf-8"?>
<Properties xmlns="http://schemas.openxmlformats.org/officeDocument/2006/custom-properties" xmlns:vt="http://schemas.openxmlformats.org/officeDocument/2006/docPropsVTypes"/>
</file>